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B02A1B"/>
          <w:sz w:val="60"/>
        </w:rPr>
        <w:t>The Stack China Is Building</w:t>
      </w:r>
    </w:p>
    <w:p>
      <w:r>
        <w:rPr>
          <w:rFonts w:ascii="Calibri" w:hAnsi="Calibri" w:eastAsia="Calibri"/>
          <w:b/>
          <w:i w:val="0"/>
          <w:color w:val="181A1F"/>
          <w:sz w:val="30"/>
        </w:rPr>
        <w:t>A Value-Chain Map of China's Indigenous AI Ecosystem</w:t>
      </w:r>
    </w:p>
    <w:p>
      <w:r>
        <w:rPr>
          <w:rFonts w:ascii="Calibri" w:hAnsi="Calibri" w:eastAsia="Calibri"/>
          <w:b w:val="0"/>
          <w:i w:val="0"/>
          <w:color w:val="565C67"/>
          <w:sz w:val="20"/>
        </w:rPr>
        <w:t>Flagship research report  ·  Data as-of mid-2026  ·  For financial-market experts, economists &amp; industry analysts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5852160" cy="430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alue_chain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0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120"/>
        <w:ind w:left="259"/>
        <w:pBdr>
          <w:left w:val="single" w:sz="18" w:space="8" w:color="B02A1B"/>
        </w:pBdr>
      </w:pPr>
      <w:r>
        <w:rPr>
          <w:rFonts w:ascii="Georgia" w:hAnsi="Georgia" w:eastAsia="Georgia"/>
          <w:b/>
          <w:i w:val="0"/>
          <w:color w:val="565C67"/>
          <w:sz w:val="20"/>
        </w:rPr>
        <w:t>Confidence discipline.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 Every quantitative claim traces to the evidence database (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/database/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) with a source ID and an A–D confidence grade (A = filed/audited · B = primary disclosure · C = credible third-party · D = single-source / estimate). In a sector re-rating this fast, treat 2026 point figures — especially pre-listing valuations and private-company numbers — as provisional. Cross-source conflicts are documented in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/database/RECONCILIATION.md</w:t>
      </w:r>
      <w:r>
        <w:rPr>
          <w:rFonts w:ascii="Georgia" w:hAnsi="Georgia" w:eastAsia="Georgia"/>
          <w:b w:val="0"/>
          <w:i w:val="0"/>
          <w:color w:val="565C67"/>
          <w:sz w:val="20"/>
        </w:rPr>
        <w:t xml:space="preserve"> rather than smoothed over.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Executive summary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thesis in one line.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China is building a parallel, vertically-indigenized AI stack under export-control pressure; it is one to several years behind the US frontier at almost every layer, but the </w:t>
      </w:r>
      <w:r>
        <w:rPr>
          <w:rFonts w:ascii="Georgia" w:hAnsi="Georgia" w:eastAsia="Georgia"/>
          <w:b w:val="0"/>
          <w:i/>
          <w:color w:val="181A1F"/>
          <w:sz w:val="21"/>
        </w:rPr>
        <w:t>direction, coordination, and capital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behind the build-out are creating a distinct investable ecosystem whose value is migrating from where investors still look (consumer internet) to where the work is actually happening (equipment, memory, compute, interconnect, power, and embodied AI).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Seven things a professional investor should take away: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1. </w:t>
      </w:r>
      <w:r>
        <w:rPr>
          <w:rFonts w:ascii="Georgia" w:hAnsi="Georgia" w:eastAsia="Georgia"/>
          <w:b/>
          <w:i w:val="0"/>
          <w:color w:val="181A1F"/>
          <w:sz w:val="21"/>
        </w:rPr>
        <w:t>The binding constraint is lithography, and it is not close to resolved.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Without EUV, SMIC's 7nm-class (N+2) line runs at ~30–40% yield vs. TSMC's &gt;80%, ~2.5× cost/wafer, and ~30× the lithography steps (WEB-014, C). Every downstream ambition — more Ascend chips, indigenous HBM — is rationed by this one chokepoint. The indigenous-EUV "2028 goal" is realistically a lab-prototype milestone, not volume parity (WEB-007, D).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2. </w:t>
      </w:r>
      <w:r>
        <w:rPr>
          <w:rFonts w:ascii="Georgia" w:hAnsi="Georgia" w:eastAsia="Georgia"/>
          <w:b/>
          <w:i w:val="0"/>
          <w:color w:val="181A1F"/>
          <w:sz w:val="21"/>
        </w:rPr>
        <w:t>China's answer to a chip-level deficit is a system-level bet.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Huawei's Ascend 910C is ~60% of an H100 on inference (WEB-028, C), but CloudMatrix / Atlas 950 rack-scale designs lash together up to 8,192 NPUs (16 PB/s aggregate interconnect) to compete with Nvidia's GB200 NVL72 at the rack — at ~4× the power (metrics L4/L5, C). "Lose at the chip, win at the rack, pay for it with electricity."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3. </w:t>
      </w:r>
      <w:r>
        <w:rPr>
          <w:rFonts w:ascii="Georgia" w:hAnsi="Georgia" w:eastAsia="Georgia"/>
          <w:b/>
          <w:i w:val="0"/>
          <w:color w:val="181A1F"/>
          <w:sz w:val="21"/>
        </w:rPr>
        <w:t>Power is China's one unambiguous structural advantage.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China generates ~10,000 TWh/yr vs. the US ~4,600 (WEB-001, C), added +1,840 GW of wind+solar (2025), and is engineering curtailment arbitrage into data centers. If — and only if — domestic silicon closes the compute gap, latent power lets the build-out run faster than most Western models assume (a conditional, D-grade inference, not a fact).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4. </w:t>
      </w:r>
      <w:r>
        <w:rPr>
          <w:rFonts w:ascii="Georgia" w:hAnsi="Georgia" w:eastAsia="Georgia"/>
          <w:b/>
          <w:i w:val="0"/>
          <w:color w:val="181A1F"/>
          <w:sz w:val="21"/>
        </w:rPr>
        <w:t>The software moat (CUDA) is the deepest, slowest-closing gap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3–5+ years — even as Huawei open-sources CANN and Chinese labs (DeepSeek, Zhipu) demonstrate frontier training on domestic silicon.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5. </w:t>
      </w:r>
      <w:r>
        <w:rPr>
          <w:rFonts w:ascii="Georgia" w:hAnsi="Georgia" w:eastAsia="Georgia"/>
          <w:b/>
          <w:i w:val="0"/>
          <w:color w:val="181A1F"/>
          <w:sz w:val="21"/>
        </w:rPr>
        <w:t>The capital-markets regime is the real 2026 catalyst.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 deliberate "slow-bull" equity policy (since Sept-2024) has produced an IPO cluster — Zhipu, MiniMax, Biren, Iluvatar and Montage's H-share all listing within ~5 weeks; Moore Threads/MetaX STAR debuts up +468%/+693% day-one — turning national champions into public, tradeable, and often extremely richly-valued securities.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6. </w:t>
      </w:r>
      <w:r>
        <w:rPr>
          <w:rFonts w:ascii="Georgia" w:hAnsi="Georgia" w:eastAsia="Georgia"/>
          <w:b/>
          <w:i w:val="0"/>
          <w:color w:val="181A1F"/>
          <w:sz w:val="21"/>
        </w:rPr>
        <w:t>Investability ≠ listing.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highest-momentum names (Moore Threads, MetaX, Biren, Kunlunxin) sit on the US Entity List and, increasingly, Treasury's outbound-investment (OISP) net — trading freely in Shanghai/Hong Kong yet </w:t>
      </w:r>
      <w:r>
        <w:rPr>
          <w:rFonts w:ascii="Georgia" w:hAnsi="Georgia" w:eastAsia="Georgia"/>
          <w:b/>
          <w:i w:val="0"/>
          <w:color w:val="181A1F"/>
          <w:sz w:val="21"/>
        </w:rPr>
        <w:t>effectively closed to US capital</w:t>
      </w:r>
      <w:r>
        <w:rPr>
          <w:rFonts w:ascii="Georgia" w:hAnsi="Georgia" w:eastAsia="Georgia"/>
          <w:b w:val="0"/>
          <w:i w:val="0"/>
          <w:color w:val="181A1F"/>
          <w:sz w:val="21"/>
        </w:rPr>
        <w:t>. The cleanest foreign-investable exposures are the platform incumbents (Alibaba, Tencent) and a handful of un-listed-constraint names (Montage, CATL).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7. </w:t>
      </w:r>
      <w:r>
        <w:rPr>
          <w:rFonts w:ascii="Georgia" w:hAnsi="Georgia" w:eastAsia="Georgia"/>
          <w:b/>
          <w:i w:val="0"/>
          <w:color w:val="181A1F"/>
          <w:sz w:val="21"/>
        </w:rPr>
        <w:t>The valuation structure is policy-driven, not earnings-driven.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Cambricon briefly crossed a RMB 1tn market cap (first STAR company to do so) on ~$0.9bn revenue; CXMT's pre-listing valuation guidance spans RMB 295bn–3tn. This is a market pricing </w:t>
      </w:r>
      <w:r>
        <w:rPr>
          <w:rFonts w:ascii="Georgia" w:hAnsi="Georgia" w:eastAsia="Georgia"/>
          <w:b w:val="0"/>
          <w:i/>
          <w:color w:val="181A1F"/>
          <w:sz w:val="21"/>
        </w:rPr>
        <w:t>captive demand and national-champion sponsorship</w:t>
      </w:r>
      <w:r>
        <w:rPr>
          <w:rFonts w:ascii="Georgia" w:hAnsi="Georgia" w:eastAsia="Georgia"/>
          <w:b w:val="0"/>
          <w:i w:val="0"/>
          <w:color w:val="181A1F"/>
          <w:sz w:val="21"/>
        </w:rPr>
        <w:t>, not current cash flows — the opportunity and the risk are the same fact.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How to read the map.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Sections 3.0–3.9 walk the stack bottom-up; each layer resolves into market structure → capability vs. the global frontier (with a timeline) → moats &amp; economics → bottlenecks → named players → an investability read. Section 5 synthesizes: where value is captured, a China-vs-US scorecard, the stack-mapped basket, scenarios, and risks.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1. Why China's AI stack is its own investment universe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Two doctrines.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US frontier labs treat AI as a race to superintelligence, where a few months' lead may compound into permanent advantage; the effort concentrates on the frontier model. China treats AI as </w:t>
      </w:r>
      <w:r>
        <w:rPr>
          <w:rFonts w:ascii="Georgia" w:hAnsi="Georgia" w:eastAsia="Georgia"/>
          <w:b w:val="0"/>
          <w:i/>
          <w:color w:val="181A1F"/>
          <w:sz w:val="21"/>
        </w:rPr>
        <w:t>infrastructure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like electricity, water, or the internet — to be diffused across the whole economy, with a pronounced tilt toward the physical world (manufacturing, robotics) where China is already dominant (REF-BW-03). This is not merely rhetorical: it shapes where capital goes (systems and diffusion, not only frontier training), what "winning" looks like (90% economy-wide AI penetration targeted by 2030; ~70% by 2027 — L8 metrics, C), and why China tolerates a chip-level deficit while racing on rack-scale systems, power, and embodied AI.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self-sufficiency imperative.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US export controls — on advanced chips, EUV lithography, HBM, and semiconductor equipment — reframed every foreign dependency as a weaponizable vulnerability. China's response is to indigenize </w:t>
      </w:r>
      <w:r>
        <w:rPr>
          <w:rFonts w:ascii="Georgia" w:hAnsi="Georgia" w:eastAsia="Georgia"/>
          <w:b w:val="0"/>
          <w:i/>
          <w:color w:val="181A1F"/>
          <w:sz w:val="21"/>
        </w:rPr>
        <w:t>every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choke point. This is the origin of the investment opportunity that Sands Capital and Bridgewater both identify: policy manufactures </w:t>
      </w:r>
      <w:r>
        <w:rPr>
          <w:rFonts w:ascii="Georgia" w:hAnsi="Georgia" w:eastAsia="Georgia"/>
          <w:b/>
          <w:i w:val="0"/>
          <w:color w:val="181A1F"/>
          <w:sz w:val="21"/>
        </w:rPr>
        <w:t>captive domestic demand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and </w:t>
      </w:r>
      <w:r>
        <w:rPr>
          <w:rFonts w:ascii="Georgia" w:hAnsi="Georgia" w:eastAsia="Georgia"/>
          <w:b/>
          <w:i w:val="0"/>
          <w:color w:val="181A1F"/>
          <w:sz w:val="21"/>
        </w:rPr>
        <w:t>national-champion sponsorship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for any firm that can climb the technical curve. The corollary, per Bridgewater, is that this is a </w:t>
      </w:r>
      <w:r>
        <w:rPr>
          <w:rFonts w:ascii="Georgia" w:hAnsi="Georgia" w:eastAsia="Georgia"/>
          <w:b w:val="0"/>
          <w:i/>
          <w:color w:val="181A1F"/>
          <w:sz w:val="21"/>
        </w:rPr>
        <w:t>diversifying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bet — the indigenous names do not price off the global AI supply chain, because their fortunes turn on Chinese policy and domestic substitution, not on Nvidia's order book.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macro backdrop (context).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China's economy is deliberately uneven: a ~4.5% headline growth target (about half the high-growth-era pace), weak property and consumption, but hyper-competitive strategic-export industries and a top-down reallocation of fiscal and financial resources toward AI, robotics, and the industrial build-out (REF-BW-03). The same mercantilist dynamic that pressures Europe and fuels the global tariff cycle is what funds the AI stack. For allocators, Chinese AI equities are attractive less as a growth-beta play than as a </w:t>
      </w:r>
      <w:r>
        <w:rPr>
          <w:rFonts w:ascii="Georgia" w:hAnsi="Georgia" w:eastAsia="Georgia"/>
          <w:b/>
          <w:i w:val="0"/>
          <w:color w:val="181A1F"/>
          <w:sz w:val="21"/>
        </w:rPr>
        <w:t>diversifier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with a policy put ("slow bull") beneath the equity market.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2. The macro frame: compute supply–demand and the capex cycle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9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upply_dema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1 — The supply gap that built the market. Sources: REF-SANDS-01 (C), REF-BW-01 (D).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A low base.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Bridgewater's triangulation puts total compute accessible to Chinese AI firms at ~3.8 GW (including capacity housed abroad), of which ~2.5 GW is available for inference (~65% split) — a fraction of the major US labs' fleets (C→D, REF-BW-01). The supply gap is stark at the device level too: the US and allies consume ~12m AI chips/year; China produces ~2m domestically against demand that may already exceed 5m (REF-SANDS-01,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squeeze is showing up in prices.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After years of aggressive discounting, Alibaba, Baidu and Tencent all </w:t>
      </w:r>
      <w:r>
        <w:rPr>
          <w:rFonts w:ascii="Georgia" w:hAnsi="Georgia" w:eastAsia="Georgia"/>
          <w:b w:val="0"/>
          <w:i/>
          <w:color w:val="181A1F"/>
          <w:sz w:val="21"/>
        </w:rPr>
        <w:t>raised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AI-compute list prices in 2026, and Chinese model vendors priced their latest flagships </w:t>
      </w:r>
      <w:r>
        <w:rPr>
          <w:rFonts w:ascii="Georgia" w:hAnsi="Georgia" w:eastAsia="Georgia"/>
          <w:b w:val="0"/>
          <w:i/>
          <w:color w:val="181A1F"/>
          <w:sz w:val="21"/>
        </w:rPr>
        <w:t>above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predecessors — behavior consistent with compute (not demand) as the binding constraint (REF-BW-01). Zhipu, in its first post-IPO print, named compute capacity as the limiting factor on its business.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capex response is captive.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15th Five-Year Plan (Mar-2026) elevated AI to the primary national objective; a draft ~$295bn national AI data-center grid mandates ≥80% domestic technology (L6 metrics, B/C). Because policy guarantees demand, the domestic build-out does not face the demand uncertainty that haunts early-stage tech elsewhere — the risk migrates from "will there be customers?" to "can the technology scale?" That is the single most important reframing for valuing these names.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efficiency offset.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Chinese models are unusually compute-efficient in inference (DeepSeek's architecture work is the emblem), partially offsetting the hardware deficit. Even doubling the effective compute requirement, China's inference fleet remains well below the US majors' — but the gap in </w:t>
      </w:r>
      <w:r>
        <w:rPr>
          <w:rFonts w:ascii="Georgia" w:hAnsi="Georgia" w:eastAsia="Georgia"/>
          <w:b w:val="0"/>
          <w:i/>
          <w:color w:val="181A1F"/>
          <w:sz w:val="21"/>
        </w:rPr>
        <w:t>deliverable intelligence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narrower than the raw GW gap implies.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3. The stack, layer by layer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43030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alue_chain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0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2 — Value-chain map: China's AI stack, bottom-up, with capability vs. the global frontier.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3.0 Energy &amp; Power (L0)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21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21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3 — Electricity generation, China vs. US, 2024. Sources: WEB-001 (C).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one layer where China leads outright. Generation ~10,000 TWh (2024) vs. US ~4,600, +~500 TWh added in 2025 alone (WEB-001, C). Installed data-center capacity ~32 GW (2025), forecast to ~40 GW (2026) and ~60 GW (2030) (Rystad, WEB-002, C). A $580bn 15FYP grid-capex program and 15 new UHV lines move power from the renewable-rich west to demand centers (WEB-005, C). Wind+solar installed base hit ~1,840 GW in 2025, surpassing thermal for the first time (WEB-024,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arbitrage.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Curtailed renewables (solar ~9.2%, wind ~8.5% early-2026) are being routed into data centers via the "East-Data-West-Compute" program (63% hub occupancy; ~$33bn cumulative investment) (WEB-003/004, C). Green-DC policy targets PUE ≤1.25 and ≥80% renewable sourcing for new builds (WEB-023).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vs. frontier / the conditional edge.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US faces a </w:t>
      </w:r>
      <w:r>
        <w:rPr>
          <w:rFonts w:ascii="Georgia" w:hAnsi="Georgia" w:eastAsia="Georgia"/>
          <w:b w:val="0"/>
          <w:i/>
          <w:color w:val="181A1F"/>
          <w:sz w:val="21"/>
        </w:rPr>
        <w:t>power ceiling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: data-center demand ~31 GW (2025) → ~66 GW (2027), with a forecast ~49 GW delivery shortfall by 2028 (Morgan Stanley/Grid Strategies, WEB-021, D). China faces no such near-term ceiling. </w:t>
      </w:r>
      <w:r>
        <w:rPr>
          <w:rFonts w:ascii="Georgia" w:hAnsi="Georgia" w:eastAsia="Georgia"/>
          <w:b/>
          <w:i w:val="0"/>
          <w:color w:val="181A1F"/>
          <w:sz w:val="21"/>
        </w:rPr>
        <w:t>But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abundant power is necessary, not sufficient: the payoff to China's energy advantage is </w:t>
      </w:r>
      <w:r>
        <w:rPr>
          <w:rFonts w:ascii="Georgia" w:hAnsi="Georgia" w:eastAsia="Georgia"/>
          <w:b w:val="0"/>
          <w:i/>
          <w:color w:val="181A1F"/>
          <w:sz w:val="21"/>
        </w:rPr>
        <w:t>gated on domestic silicon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closing the compute gap (L1/L3/L4). This is the report's central conditional — a D-grade inference, not a citable fact.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State Grid is unlisted (uninvestable). The cleanest listed proxy is </w:t>
      </w:r>
      <w:r>
        <w:rPr>
          <w:rFonts w:ascii="Georgia" w:hAnsi="Georgia" w:eastAsia="Georgia"/>
          <w:b/>
          <w:i w:val="0"/>
          <w:color w:val="181A1F"/>
          <w:sz w:val="21"/>
        </w:rPr>
        <w:t>CATL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(SZSE:300750 / HKEX:3750, ~$420bn; grid-storage revenue ~$8.6bn, 121 GWh shipped 2025) — foreign-investable, no Entity-List flag. Nuclear (110 GW target by 2030) and the UHV/grid-equipment complex are secondary plays for a dedicated pod to size.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3.1 Semiconductor equipment &amp; EDA (L1)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2574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fe_selfsuf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57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4 — L1 self-sufficiency by segment. Sources: WEB-009/011/019 (C→D).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 broad domestic roster is climbing segment by segment: </w:t>
      </w:r>
      <w:r>
        <w:rPr>
          <w:rFonts w:ascii="Georgia" w:hAnsi="Georgia" w:eastAsia="Georgia"/>
          <w:b/>
          <w:i w:val="0"/>
          <w:color w:val="181A1F"/>
          <w:sz w:val="21"/>
        </w:rPr>
        <w:t>NAURA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(SZSE:002371, ~$82.5bn) is the breadth champion (etch, deposition, clean, thermal); </w:t>
      </w:r>
      <w:r>
        <w:rPr>
          <w:rFonts w:ascii="Georgia" w:hAnsi="Georgia" w:eastAsia="Georgia"/>
          <w:b/>
          <w:i w:val="0"/>
          <w:color w:val="181A1F"/>
          <w:sz w:val="21"/>
        </w:rPr>
        <w:t>AMEC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(SSE:688012, ~$29.8bn) the etch specialist with a genuine world-class ambition; </w:t>
      </w:r>
      <w:r>
        <w:rPr>
          <w:rFonts w:ascii="Georgia" w:hAnsi="Georgia" w:eastAsia="Georgia"/>
          <w:b/>
          <w:i w:val="0"/>
          <w:color w:val="181A1F"/>
          <w:sz w:val="21"/>
        </w:rPr>
        <w:t>ACM Research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(SSE:688082 / NASDAQ:ACMR, ~$6.4bn) in cleaning; plus Piotech (deposition), Kingsemi (track/coat), Hwatsing (CMP). In EDA, </w:t>
      </w:r>
      <w:r>
        <w:rPr>
          <w:rFonts w:ascii="Georgia" w:hAnsi="Georgia" w:eastAsia="Georgia"/>
          <w:b/>
          <w:i w:val="0"/>
          <w:color w:val="181A1F"/>
          <w:sz w:val="21"/>
        </w:rPr>
        <w:t>Empyrean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(SZSE:301269) and Primarius (SSE:688206) anchor a consolidating sector. </w:t>
      </w:r>
      <w:r>
        <w:rPr>
          <w:rFonts w:ascii="Georgia" w:hAnsi="Georgia" w:eastAsia="Georgia"/>
          <w:b/>
          <w:i w:val="0"/>
          <w:color w:val="181A1F"/>
          <w:sz w:val="21"/>
        </w:rPr>
        <w:t>SMEE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(state, unlisted) carries the lithography burden, and </w:t>
      </w:r>
      <w:r>
        <w:rPr>
          <w:rFonts w:ascii="Georgia" w:hAnsi="Georgia" w:eastAsia="Georgia"/>
          <w:b/>
          <w:i w:val="0"/>
          <w:color w:val="181A1F"/>
          <w:sz w:val="21"/>
        </w:rPr>
        <w:t>SiCarrier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(Huawei-linked, unlisted, ~$9bn est., D) is the wild-card full-stack entrant.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vs. frontier.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Overall equipment self-sufficiency ~35% (Jan-2026, C), but wildly uneven: etch and clean ~55%, deposition only ~25% (the weakest major sub-segment), and lithography/EDA the widest gaps. Collectively, Chinese WFE vendors are still only ~6.5% of the </w:t>
      </w:r>
      <w:r>
        <w:rPr>
          <w:rFonts w:ascii="Georgia" w:hAnsi="Georgia" w:eastAsia="Georgia"/>
          <w:b w:val="0"/>
          <w:i/>
          <w:color w:val="181A1F"/>
          <w:sz w:val="21"/>
        </w:rPr>
        <w:t>global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WFE market (up from 1.2% in 2021) (WEB-009/010, C→D). EDA is the widest gap by market value — Empyrean+Primarius vs. Synopsys+Cadence is a ~20×+ mismatch — and the May-2025 US EDA ban acted as a demand subsidy: Empyrean's H1 revenue grew but profit fell ~92% on import-substitution spend (WEB-011,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EUV, quantified.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indigenous LPP light source measured ~100–150W mid-2025 vs. &gt;250W needed for high-volume manufacturing; a separate SSMB/synchrotron effort at Tsinghua/Xiong'an is years from product (WEB-007, D). Read the 2028 target as a lab demo. Meanwhile DUV multipatterning imposes the ~2.5× cost and ~30–40% yield penalty that rations everything above it.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Moats &amp; economics.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Two moat types: AMEC's </w:t>
      </w:r>
      <w:r>
        <w:rPr>
          <w:rFonts w:ascii="Georgia" w:hAnsi="Georgia" w:eastAsia="Georgia"/>
          <w:b w:val="0"/>
          <w:i/>
          <w:color w:val="181A1F"/>
          <w:sz w:val="21"/>
        </w:rPr>
        <w:t>process-knowledge compounding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(every wafer run improves the next tool — not purchasable, not reverse-engineerable), and NAURA's </w:t>
      </w:r>
      <w:r>
        <w:rPr>
          <w:rFonts w:ascii="Georgia" w:hAnsi="Georgia" w:eastAsia="Georgia"/>
          <w:b w:val="0"/>
          <w:i/>
          <w:color w:val="181A1F"/>
          <w:sz w:val="21"/>
        </w:rPr>
        <w:t>breadth-as-lock-in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(a fab qualified on NAURA across four process steps faces years of switching cost). The 50% domestic-equipment mandate for new fabs converts these into near-guaranteed order books (WEB-018,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All the pure-plays are A-share/STAR listed and </w:t>
      </w:r>
      <w:r>
        <w:rPr>
          <w:rFonts w:ascii="Georgia" w:hAnsi="Georgia" w:eastAsia="Georgia"/>
          <w:b/>
          <w:i w:val="0"/>
          <w:color w:val="181A1F"/>
          <w:sz w:val="21"/>
        </w:rPr>
        <w:t>Stock-Connect/QFII-restricted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for foreign capital; NAURA's subsidiary and SMIC R&amp;D units were added to the Entity List in Mar-2025, and the proposed MATCH Act names NAURA/AMEC/ACM/SMIC/Hua Hong explicitly (WEB-016, C). ACMR (the US-listed parent line) is the one partial exception. Net: high strategic conviction, constrained access.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3.2 Fabrication &amp; advanced packaging (L2)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349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yield_du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34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5 — 7nm-class yield and the DUV multipatterning penalty. Sources: WEB-014 (C).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Two national champions: </w:t>
      </w:r>
      <w:r>
        <w:rPr>
          <w:rFonts w:ascii="Georgia" w:hAnsi="Georgia" w:eastAsia="Georgia"/>
          <w:b/>
          <w:i w:val="0"/>
          <w:color w:val="181A1F"/>
          <w:sz w:val="21"/>
        </w:rPr>
        <w:t>SMIC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(HKEX:0981 / SSE:688981, ~$90bn) and </w:t>
      </w:r>
      <w:r>
        <w:rPr>
          <w:rFonts w:ascii="Georgia" w:hAnsi="Georgia" w:eastAsia="Georgia"/>
          <w:b/>
          <w:i w:val="0"/>
          <w:color w:val="181A1F"/>
          <w:sz w:val="21"/>
        </w:rPr>
        <w:t>Hua Hong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(HKEX:1347 / SSE:688347, ~$23.5bn). SMIC runs the 7nm-class (N+2) line that fabs Huawei's Ascend; Hua Hong's Huali JV targets initial 7nm output (a few thousand wpm) by end-2026, which would make it China's second advanced-node line.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vs. frontier.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Stuck at 7nm-class for the foreseeable future without EUV; 5nm-class exists only in pilot and at punishing yield. SMIC's advanced-node yield ~20–46% (cross-checked ~35%) vs. TSMC &gt;80% (C). 2026 capex ~$8.1bn, mostly for </w:t>
      </w:r>
      <w:r>
        <w:rPr>
          <w:rFonts w:ascii="Georgia" w:hAnsi="Georgia" w:eastAsia="Georgia"/>
          <w:b w:val="0"/>
          <w:i/>
          <w:color w:val="181A1F"/>
          <w:sz w:val="21"/>
        </w:rPr>
        <w:t>mature</w:t>
      </w:r>
      <w:r>
        <w:rPr>
          <w:rFonts w:ascii="Georgia" w:hAnsi="Georgia" w:eastAsia="Georgia"/>
          <w:b w:val="0"/>
          <w:i w:val="0"/>
          <w:color w:val="181A1F"/>
          <w:sz w:val="21"/>
        </w:rPr>
        <w:t>-node expansion (~340k wpm across four new fabs) — capacity, not frontier. Advanced packaging (TSV, CoWoS-analogs, hybrid bonding) is a co-binding constraint, ~3 years behind the frontier (WEB-015, D) and pivotal to any indigenous HBM.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Economics &amp; 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Foundry is the scarce shared resource behind nearly every L4 chip vendor — SMIC capacity is the system chokepoint, and China's own 5× 7nm-and-under capacity target by end-2027 is already constraining 2026 shipment plans. Both are dual-listed (HK + STAR); SMIC is Entity-Listed. HK lines offer the most (still-restricted) foreign access.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3.3 Memory — DRAM / NAND / HBM (L3)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</w:t>
      </w:r>
      <w:r>
        <w:rPr>
          <w:rFonts w:ascii="Georgia" w:hAnsi="Georgia" w:eastAsia="Georgia"/>
          <w:b/>
          <w:i w:val="0"/>
          <w:color w:val="181A1F"/>
          <w:sz w:val="21"/>
        </w:rPr>
        <w:t>CXMT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(DRAM; global share risen to ~7.7%, #4 behind Samsung/SK hynix/Micron) and </w:t>
      </w:r>
      <w:r>
        <w:rPr>
          <w:rFonts w:ascii="Georgia" w:hAnsi="Georgia" w:eastAsia="Georgia"/>
          <w:b/>
          <w:i w:val="0"/>
          <w:color w:val="181A1F"/>
          <w:sz w:val="21"/>
        </w:rPr>
        <w:t>YMTC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(3D NAND; ~14.5% share) are the two champions, both pivoting toward the AI memory stack. CXMT's Q1-2026 was a coming-of-age print: RMB 50.8bn revenue, RMB 24.76bn net profit (+1,688% YoY), 95.7% utilization, ~80% DDR5 (G3) yield (WEB-001/002,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HBM path.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HBM is the acute AI-memory bottleneck. Indigenous HBM requires both a domestic DRAM base </w:t>
      </w:r>
      <w:r>
        <w:rPr>
          <w:rFonts w:ascii="Georgia" w:hAnsi="Georgia" w:eastAsia="Georgia"/>
          <w:b w:val="0"/>
          <w:i/>
          <w:color w:val="181A1F"/>
          <w:sz w:val="21"/>
        </w:rPr>
        <w:t>and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TSV/hybrid-bonding packaging — YMTC's Phase-3 (~50% of capacity to DRAM + TSV via its XMC unit) is building toward exactly this. CXMT targets HBM2E in 2026 as a bridge, with HBM3 slipping toward 2027 on yield/thermal issues (WEB-003, D). China's global HBM share today is negligible against SK hynix (~62%), Samsung (~21%), Micron (~17%) (metrics L3,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Capital markets — the next big test.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Both filed in May-2026. CXMT cleared STAR review (~$4.3bn raise; valuation guidance a </w:t>
      </w:r>
      <w:r>
        <w:rPr>
          <w:rFonts w:ascii="Georgia" w:hAnsi="Georgia" w:eastAsia="Georgia"/>
          <w:b w:val="0"/>
          <w:i/>
          <w:color w:val="181A1F"/>
          <w:sz w:val="21"/>
        </w:rPr>
        <w:t>very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wide RMB 295bn–3tn); YMTC is in IPO counseling (estimates RMB 500bn–3tn). These are the largest, and most valuation-contested, listings in the pipeline — treat any point valuation as D. Both are Entity-Listed (YMTC since Dec-2022, litigating; CXMT added to DoD 1260H in Jun-2026), so foreign access will be restricted even post-listing.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3.4 AI chips &amp; software ecosystems (L4)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most crowded, most strategically-central, and most-constrained layer. </w:t>
      </w:r>
      <w:r>
        <w:rPr>
          <w:rFonts w:ascii="Georgia" w:hAnsi="Georgia" w:eastAsia="Georgia"/>
          <w:b/>
          <w:i w:val="0"/>
          <w:color w:val="181A1F"/>
          <w:sz w:val="21"/>
        </w:rPr>
        <w:t>Huawei Ascend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the flagship (private; est. ~$12bn AI-chip revenue 2026, C). Listed challengers: </w:t>
      </w:r>
      <w:r>
        <w:rPr>
          <w:rFonts w:ascii="Georgia" w:hAnsi="Georgia" w:eastAsia="Georgia"/>
          <w:b/>
          <w:i w:val="0"/>
          <w:color w:val="181A1F"/>
          <w:sz w:val="21"/>
        </w:rPr>
        <w:t>Cambricon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(SSE:688256, ~$120bn), the four "little dragon" GPU firms — </w:t>
      </w:r>
      <w:r>
        <w:rPr>
          <w:rFonts w:ascii="Georgia" w:hAnsi="Georgia" w:eastAsia="Georgia"/>
          <w:b/>
          <w:i w:val="0"/>
          <w:color w:val="181A1F"/>
          <w:sz w:val="21"/>
        </w:rPr>
        <w:t>Moore Threads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(SSE:688795), </w:t>
      </w:r>
      <w:r>
        <w:rPr>
          <w:rFonts w:ascii="Georgia" w:hAnsi="Georgia" w:eastAsia="Georgia"/>
          <w:b/>
          <w:i w:val="0"/>
          <w:color w:val="181A1F"/>
          <w:sz w:val="21"/>
        </w:rPr>
        <w:t>MetaX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</w:t>
      </w:r>
      <w:r>
        <w:rPr>
          <w:rFonts w:ascii="Georgia" w:hAnsi="Georgia" w:eastAsia="Georgia"/>
          <w:b/>
          <w:i w:val="0"/>
          <w:color w:val="181A1F"/>
          <w:sz w:val="21"/>
        </w:rPr>
        <w:t>Biren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(HKEX:6844), </w:t>
      </w:r>
      <w:r>
        <w:rPr>
          <w:rFonts w:ascii="Georgia" w:hAnsi="Georgia" w:eastAsia="Georgia"/>
          <w:b/>
          <w:i w:val="0"/>
          <w:color w:val="181A1F"/>
          <w:sz w:val="21"/>
        </w:rPr>
        <w:t>Iluvatar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(HKEX) — plus </w:t>
      </w:r>
      <w:r>
        <w:rPr>
          <w:rFonts w:ascii="Georgia" w:hAnsi="Georgia" w:eastAsia="Georgia"/>
          <w:b/>
          <w:i w:val="0"/>
          <w:color w:val="181A1F"/>
          <w:sz w:val="21"/>
        </w:rPr>
        <w:t>Baidu Kunlunxin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and Alibaba's </w:t>
      </w:r>
      <w:r>
        <w:rPr>
          <w:rFonts w:ascii="Georgia" w:hAnsi="Georgia" w:eastAsia="Georgia"/>
          <w:b/>
          <w:i w:val="0"/>
          <w:color w:val="181A1F"/>
          <w:sz w:val="21"/>
        </w:rPr>
        <w:t>T-Head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(captive) and ByteDance's in-house silicon.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vs. frontier — the two-level story.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At the </w:t>
      </w:r>
      <w:r>
        <w:rPr>
          <w:rFonts w:ascii="Georgia" w:hAnsi="Georgia" w:eastAsia="Georgia"/>
          <w:b w:val="0"/>
          <w:i/>
          <w:color w:val="181A1F"/>
          <w:sz w:val="21"/>
        </w:rPr>
        <w:t>device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level China is ~1–2 generations behind: Ascend 910C ≈ 60% of H100 inference (DeepSeek's own benchmark, WEB-028, C). At the </w:t>
      </w:r>
      <w:r>
        <w:rPr>
          <w:rFonts w:ascii="Georgia" w:hAnsi="Georgia" w:eastAsia="Georgia"/>
          <w:b w:val="0"/>
          <w:i/>
          <w:color w:val="181A1F"/>
          <w:sz w:val="21"/>
        </w:rPr>
        <w:t>system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level Huawei's CloudMatrix 384 / Atlas 950 SuperPoD scales to 8,192 NPUs (~300 PFLOPS BF16; 16 PB/s interconnect) and claims to match/exceed GB200 NVL72 at the rack — at ~4× the power. The </w:t>
      </w:r>
      <w:r>
        <w:rPr>
          <w:rFonts w:ascii="Georgia" w:hAnsi="Georgia" w:eastAsia="Georgia"/>
          <w:b/>
          <w:i w:val="0"/>
          <w:color w:val="181A1F"/>
          <w:sz w:val="21"/>
        </w:rPr>
        <w:t>software gap is the deep one</w:t>
      </w:r>
      <w:r>
        <w:rPr>
          <w:rFonts w:ascii="Georgia" w:hAnsi="Georgia" w:eastAsia="Georgia"/>
          <w:b w:val="0"/>
          <w:i w:val="0"/>
          <w:color w:val="181A1F"/>
          <w:sz w:val="21"/>
        </w:rPr>
        <w:t>: CANN/MindSpore vs. CUDA is a 3–5+ year moat, though Huawei has open-sourced CANN and DeepSeek/Zhipu have shown frontier training without Nvidia (WEB-026/027, C→D).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procurement mandate is the demand engine.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50% domestic-chip rule for state-funded DCs (Aug-2025) → full foreign-accelerator ban in state projects (Nov-2025) → the draft ≥80%-domestic national grid (2026). Nvidia's China data-center share fell from ~95% (2023) to &lt;60% (H2-2025) toward the CEO's "~0" 2026 framing — yet reporting is </w:t>
      </w:r>
      <w:r>
        <w:rPr>
          <w:rFonts w:ascii="Georgia" w:hAnsi="Georgia" w:eastAsia="Georgia"/>
          <w:b w:val="0"/>
          <w:i/>
          <w:color w:val="181A1F"/>
          <w:sz w:val="21"/>
        </w:rPr>
        <w:t>unreconciled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(ByteDance alone reportedly planned ~$14bn of 2026 Nvidia purchases). This contradiction is a flagged open question, not resolved.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 — the sharpest constraint in the report.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Nearly every merchant GPU name is Entity-Listed (Biren and Moore Threads named in the Oct-2023 action) and increasingly OISP-flagged. HK-listed Biren/Iluvatar are the most open; STAR-listed Cambricon/Moore Threads/MetaX are Connect/QFII-restricted; Huawei/ByteDance are fully closed. Valuations are policy-driven: Cambricon briefly hit RMB 1tn on ~$0.9bn revenue then corrected ~14% on its own risk warning; the GPU IPOs popped +468% to +693% day-one. </w:t>
      </w:r>
      <w:r>
        <w:rPr>
          <w:rFonts w:ascii="Georgia" w:hAnsi="Georgia" w:eastAsia="Georgia"/>
          <w:b/>
          <w:i w:val="0"/>
          <w:color w:val="181A1F"/>
          <w:sz w:val="21"/>
        </w:rPr>
        <w:t>The purest exposure is the least accessible to US capital.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3.5 Interconnect &amp; networking (L5)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quiet chokepoint where China has a genuine global leader. </w:t>
      </w:r>
      <w:r>
        <w:rPr>
          <w:rFonts w:ascii="Georgia" w:hAnsi="Georgia" w:eastAsia="Georgia"/>
          <w:b/>
          <w:i w:val="0"/>
          <w:color w:val="181A1F"/>
          <w:sz w:val="21"/>
        </w:rPr>
        <w:t>Montage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(SSE:688008 / HKEX:6809) holds ~36.8% of the global memory-interface market (MRCD/MDB, CKD, PCIe/CXL retimers) — an oligopoly with Rambus/Renesas, high qualification barriers, long lifecycles, a JEDEC board seat. FY2025 revenue RMB 5.456bn (+50%), gross margin ~62%; interconnect-segment revenue +93.8% YoY in Q1-2026; 1m+ cumulative PCIe retimers shipped (WEB-007/008, B/C). </w:t>
      </w:r>
      <w:r>
        <w:rPr>
          <w:rFonts w:ascii="Georgia" w:hAnsi="Georgia" w:eastAsia="Georgia"/>
          <w:b/>
          <w:i w:val="0"/>
          <w:color w:val="181A1F"/>
          <w:sz w:val="21"/>
        </w:rPr>
        <w:t>Huawei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supplies the scale-up optical fabric (8,192-NPU clusters, 16 PB/s). Optical-module names </w:t>
      </w:r>
      <w:r>
        <w:rPr>
          <w:rFonts w:ascii="Georgia" w:hAnsi="Georgia" w:eastAsia="Georgia"/>
          <w:b/>
          <w:i w:val="0"/>
          <w:color w:val="181A1F"/>
          <w:sz w:val="21"/>
        </w:rPr>
        <w:t>Innolight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and </w:t>
      </w:r>
      <w:r>
        <w:rPr>
          <w:rFonts w:ascii="Georgia" w:hAnsi="Georgia" w:eastAsia="Georgia"/>
          <w:b/>
          <w:i w:val="0"/>
          <w:color w:val="181A1F"/>
          <w:sz w:val="21"/>
        </w:rPr>
        <w:t>Eoptolink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ride Nvidia/global 800G demand (Innolight ~60% of Nvidia 800G orders, 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Why it matters.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As models scale, the binding constraint migrates from compute to </w:t>
      </w:r>
      <w:r>
        <w:rPr>
          <w:rFonts w:ascii="Georgia" w:hAnsi="Georgia" w:eastAsia="Georgia"/>
          <w:b w:val="0"/>
          <w:i/>
          <w:color w:val="181A1F"/>
          <w:sz w:val="21"/>
        </w:rPr>
        <w:t>data movement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memory bandwidth and node-to-node latency. Montage is expanding from memory-interface into PCIe/optical/Ethernet exactly as that layer becomes the bottleneck. It is the rare China name that is a global </w:t>
      </w:r>
      <w:r>
        <w:rPr>
          <w:rFonts w:ascii="Georgia" w:hAnsi="Georgia" w:eastAsia="Georgia"/>
          <w:b w:val="0"/>
          <w:i/>
          <w:color w:val="181A1F"/>
          <w:sz w:val="21"/>
        </w:rPr>
        <w:t>incumbent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leader, not a substitute.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 — a bright spot.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Montage carries </w:t>
      </w:r>
      <w:r>
        <w:rPr>
          <w:rFonts w:ascii="Georgia" w:hAnsi="Georgia" w:eastAsia="Georgia"/>
          <w:b/>
          <w:i w:val="0"/>
          <w:color w:val="181A1F"/>
          <w:sz w:val="21"/>
        </w:rPr>
        <w:t>no Entity-List flag and is foreign-investable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(esp. via HKEX:6809). Its H-share IPO (Feb-2026) priced at a 44% discount to the A-share, popped +64% on debut, and by mid-2026 A/H had converged to near-parity — a notable reversal of the historical A-premium and a signal of international conviction. Optical-module names are A-share-restricted.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3.6 Data center &amp; cloud (L6)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</w:t>
      </w:r>
      <w:r>
        <w:rPr>
          <w:rFonts w:ascii="Georgia" w:hAnsi="Georgia" w:eastAsia="Georgia"/>
          <w:b/>
          <w:i w:val="0"/>
          <w:color w:val="181A1F"/>
          <w:sz w:val="21"/>
        </w:rPr>
        <w:t>Alibaba Cloud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leads China's AI cloud (~35.8% 2025 → ~38.1% 2026; revenue growth re-accelerated to +38% YoY in Q1-2026) and is the closest China analog to a Western hyperscaler — its own chips (T-Head), its own models (Qwen), and deep enterprise integration (WEB, B/C). </w:t>
      </w:r>
      <w:r>
        <w:rPr>
          <w:rFonts w:ascii="Georgia" w:hAnsi="Georgia" w:eastAsia="Georgia"/>
          <w:b/>
          <w:i w:val="0"/>
          <w:color w:val="181A1F"/>
          <w:sz w:val="21"/>
        </w:rPr>
        <w:t>Huawei Cloud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#2 in overall China cloud-infra (~17% Q4-2025; external revenue ~RMB 32bn). </w:t>
      </w:r>
      <w:r>
        <w:rPr>
          <w:rFonts w:ascii="Georgia" w:hAnsi="Georgia" w:eastAsia="Georgia"/>
          <w:b/>
          <w:i w:val="0"/>
          <w:color w:val="181A1F"/>
          <w:sz w:val="21"/>
        </w:rPr>
        <w:t>ByteDance's Volcengine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is the fastest-rising AI-cloud (~14.8% AI-cloud share; MaaS revenue targeting RMB 15bn in 2026 from RMB 1.5bn, and ~RMB 200bn AI capex, D). </w:t>
      </w:r>
      <w:r>
        <w:rPr>
          <w:rFonts w:ascii="Georgia" w:hAnsi="Georgia" w:eastAsia="Georgia"/>
          <w:b/>
          <w:i w:val="0"/>
          <w:color w:val="181A1F"/>
          <w:sz w:val="21"/>
        </w:rPr>
        <w:t>Baidu AI Cloud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grew AI-infrastructure revenue +79% YoY (Q1-2026, B). </w:t>
      </w:r>
      <w:r>
        <w:rPr>
          <w:rFonts w:ascii="Georgia" w:hAnsi="Georgia" w:eastAsia="Georgia"/>
          <w:b/>
          <w:i w:val="0"/>
          <w:color w:val="181A1F"/>
          <w:sz w:val="21"/>
        </w:rPr>
        <w:t>Tencent Cloud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rounds out the majors.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&amp; economics.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Structurally behind the US hyperscalers on scale and unit cost (global benchmark: ~$7.9bn to own+operate 1 GW; $2tn cumulative hyperscaler capex through 2026 — REF-EV-01), but growing off a low base with a captive market and the national data-center grid (~$295bn, ≥80% domestic) as a demand floor. The cloud layer is where Alibaba's "compounding infrastructure" thesis lives: every enterprise that builds on Alibaba Cloud + Qwen deepens a switching-cost moat the retail narrative ignores.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Alibaba (HKEX:9988 / NYSE:BABA, ~$231bn), Tencent (HKEX:0700, ~$520bn), Baidu (HKEX:9888 / NASDAQ:BIDU, ~$38bn) are the </w:t>
      </w:r>
      <w:r>
        <w:rPr>
          <w:rFonts w:ascii="Georgia" w:hAnsi="Georgia" w:eastAsia="Georgia"/>
          <w:b/>
          <w:i w:val="0"/>
          <w:color w:val="181A1F"/>
          <w:sz w:val="21"/>
        </w:rPr>
        <w:t>most liquid, foreign-investable AI exposures in China</w:t>
      </w:r>
      <w:r>
        <w:rPr>
          <w:rFonts w:ascii="Georgia" w:hAnsi="Georgia" w:eastAsia="Georgia"/>
          <w:b w:val="0"/>
          <w:i w:val="0"/>
          <w:color w:val="181A1F"/>
          <w:sz w:val="21"/>
        </w:rPr>
        <w:t>, trade at a discount to global hyperscaler peers (weighed down by non-AI legacy lines), and are not Entity-Listed. Huawei Cloud and Volcengine are trapped inside private/closed parents.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3.7 Foundation models (L7)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9192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oken_sh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19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6 — Chinese-model share of OpenRouter tokens, 2026 (C).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 vibrant, largely </w:t>
      </w:r>
      <w:r>
        <w:rPr>
          <w:rFonts w:ascii="Georgia" w:hAnsi="Georgia" w:eastAsia="Georgia"/>
          <w:b/>
          <w:i w:val="0"/>
          <w:color w:val="181A1F"/>
          <w:sz w:val="21"/>
        </w:rPr>
        <w:t>open-weight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field: </w:t>
      </w:r>
      <w:r>
        <w:rPr>
          <w:rFonts w:ascii="Georgia" w:hAnsi="Georgia" w:eastAsia="Georgia"/>
          <w:b/>
          <w:i w:val="0"/>
          <w:color w:val="181A1F"/>
          <w:sz w:val="21"/>
        </w:rPr>
        <w:t>DeepSeek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(R1 the Jan-2025 catalyst; V4 co-optimized for Ascend/Cambricon), Alibaba </w:t>
      </w:r>
      <w:r>
        <w:rPr>
          <w:rFonts w:ascii="Georgia" w:hAnsi="Georgia" w:eastAsia="Georgia"/>
          <w:b/>
          <w:i w:val="0"/>
          <w:color w:val="181A1F"/>
          <w:sz w:val="21"/>
        </w:rPr>
        <w:t>Qwen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(open+closed; 180k+ derivative models by Oct-2025 — the largest open-model ecosystem globally), ByteDance </w:t>
      </w:r>
      <w:r>
        <w:rPr>
          <w:rFonts w:ascii="Georgia" w:hAnsi="Georgia" w:eastAsia="Georgia"/>
          <w:b/>
          <w:i w:val="0"/>
          <w:color w:val="181A1F"/>
          <w:sz w:val="21"/>
        </w:rPr>
        <w:t>Doubao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Zhipu </w:t>
      </w:r>
      <w:r>
        <w:rPr>
          <w:rFonts w:ascii="Georgia" w:hAnsi="Georgia" w:eastAsia="Georgia"/>
          <w:b/>
          <w:i w:val="0"/>
          <w:color w:val="181A1F"/>
          <w:sz w:val="21"/>
        </w:rPr>
        <w:t>GLM/Z.ai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</w:t>
      </w:r>
      <w:r>
        <w:rPr>
          <w:rFonts w:ascii="Georgia" w:hAnsi="Georgia" w:eastAsia="Georgia"/>
          <w:b/>
          <w:i w:val="0"/>
          <w:color w:val="181A1F"/>
          <w:sz w:val="21"/>
        </w:rPr>
        <w:t>MiniMax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Moonshot </w:t>
      </w:r>
      <w:r>
        <w:rPr>
          <w:rFonts w:ascii="Georgia" w:hAnsi="Georgia" w:eastAsia="Georgia"/>
          <w:b/>
          <w:i w:val="0"/>
          <w:color w:val="181A1F"/>
          <w:sz w:val="21"/>
        </w:rPr>
        <w:t>Kimi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Baidu </w:t>
      </w:r>
      <w:r>
        <w:rPr>
          <w:rFonts w:ascii="Georgia" w:hAnsi="Georgia" w:eastAsia="Georgia"/>
          <w:b/>
          <w:i w:val="0"/>
          <w:color w:val="181A1F"/>
          <w:sz w:val="21"/>
        </w:rPr>
        <w:t>Ernie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Tencent </w:t>
      </w:r>
      <w:r>
        <w:rPr>
          <w:rFonts w:ascii="Georgia" w:hAnsi="Georgia" w:eastAsia="Georgia"/>
          <w:b/>
          <w:i w:val="0"/>
          <w:color w:val="181A1F"/>
          <w:sz w:val="21"/>
        </w:rPr>
        <w:t>Hunyuan</w:t>
      </w:r>
      <w:r>
        <w:rPr>
          <w:rFonts w:ascii="Georgia" w:hAnsi="Georgia" w:eastAsia="Georgia"/>
          <w:b w:val="0"/>
          <w:i w:val="0"/>
          <w:color w:val="181A1F"/>
          <w:sz w:val="21"/>
        </w:rPr>
        <w:t>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vs. frontier.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Behind OpenAI/Anthropic/Google at the very frontier, but the gap is measured in months on many benchmarks and the open-weight tier is globally competitive. Chinese models now take a striking share of third-party token demand: ~33% → as high as ~55–61% of OpenRouter tokens in 2026 (DeepSeek alone ~17%), as US-lab share fell toward ~30% among those self-selecting, cost-sensitive users (metrics L7, C). The strategic play is </w:t>
      </w:r>
      <w:r>
        <w:rPr>
          <w:rFonts w:ascii="Georgia" w:hAnsi="Georgia" w:eastAsia="Georgia"/>
          <w:b w:val="0"/>
          <w:i/>
          <w:color w:val="181A1F"/>
          <w:sz w:val="21"/>
        </w:rPr>
        <w:t>commoditize the model layer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cheap, open, good-enough intelligence as infrastructure — which simultaneously pressures Western labs' pricing power.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listed exposures are the platform parents (Alibaba, Tencent, Baidu). Among pure model labs, </w:t>
      </w:r>
      <w:r>
        <w:rPr>
          <w:rFonts w:ascii="Georgia" w:hAnsi="Georgia" w:eastAsia="Georgia"/>
          <w:b/>
          <w:i w:val="0"/>
          <w:color w:val="181A1F"/>
          <w:sz w:val="21"/>
        </w:rPr>
        <w:t>Zhipu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(~$75–87bn) and </w:t>
      </w:r>
      <w:r>
        <w:rPr>
          <w:rFonts w:ascii="Georgia" w:hAnsi="Georgia" w:eastAsia="Georgia"/>
          <w:b/>
          <w:i w:val="0"/>
          <w:color w:val="181A1F"/>
          <w:sz w:val="21"/>
        </w:rPr>
        <w:t>MiniMax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(~$14–20bn) IPO'd in HK in Jan-2026 (Zhipu beat OpenAI to market and re-rated ~10× intra-year) but are Connect-restricted; </w:t>
      </w:r>
      <w:r>
        <w:rPr>
          <w:rFonts w:ascii="Georgia" w:hAnsi="Georgia" w:eastAsia="Georgia"/>
          <w:b/>
          <w:i w:val="0"/>
          <w:color w:val="181A1F"/>
          <w:sz w:val="21"/>
        </w:rPr>
        <w:t>DeepSeek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(implied ~$52–59bn first external round), </w:t>
      </w:r>
      <w:r>
        <w:rPr>
          <w:rFonts w:ascii="Georgia" w:hAnsi="Georgia" w:eastAsia="Georgia"/>
          <w:b/>
          <w:i w:val="0"/>
          <w:color w:val="181A1F"/>
          <w:sz w:val="21"/>
        </w:rPr>
        <w:t>ByteDance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, and </w:t>
      </w:r>
      <w:r>
        <w:rPr>
          <w:rFonts w:ascii="Georgia" w:hAnsi="Georgia" w:eastAsia="Georgia"/>
          <w:b/>
          <w:i w:val="0"/>
          <w:color w:val="181A1F"/>
          <w:sz w:val="21"/>
        </w:rPr>
        <w:t>Moonshot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remain private. The re-rating of Zhipu is the sharpest illustration of the policy-driven valuation regime.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3.8 Applications, agents &amp; adoption (L8)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 &amp; adoption.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~602m generative-AI users, all on domestic platforms (C). Consumer scale is real: Doubao ~100m DAU (145m Spring-Festival peak), ~260m MAU; Qwen and YuanBao 50–75m DAU at peak; combined top-5 chat/search apps ~900m MAU (D). For scale reference, ChatGPT ~190m DAU globally.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weak spot.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Enterprise SaaS/monetization is thin relative to the US — China's software economy is smaller and less willing to pay per-seat, so the US "AI takes business services" playbook translates poorly. Policy is pushing the other lever: SOE-adoption mandates and the 15FYP diffusion targets (70% by 2027, 90% by 2030). Coding is an instructive gap — GitHub Copilot still leads China's coding-assistant market (~64.5%) with Alibaba's Tongyi Lingma at ~12.9% (C).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Captured mainly through the platform incumbents (Alibaba, Tencent, ByteDance-private) rather than standalone app equities; the enterprise-AI opportunity is more a </w:t>
      </w:r>
      <w:r>
        <w:rPr>
          <w:rFonts w:ascii="Georgia" w:hAnsi="Georgia" w:eastAsia="Georgia"/>
          <w:b w:val="0"/>
          <w:i/>
          <w:color w:val="181A1F"/>
          <w:sz w:val="21"/>
        </w:rPr>
        <w:t>margin story for the clouds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than a separate investable tier today.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3.9 Physical AI &amp; embodied (L9)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Market structure — China's chosen battleground.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layer most aligned with China's manufacturing edge and infrastructure doctrine. Humanoids: </w:t>
      </w:r>
      <w:r>
        <w:rPr>
          <w:rFonts w:ascii="Georgia" w:hAnsi="Georgia" w:eastAsia="Georgia"/>
          <w:b/>
          <w:i w:val="0"/>
          <w:color w:val="181A1F"/>
          <w:sz w:val="21"/>
        </w:rPr>
        <w:t>Unitree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(STAR IPO approved in a record 104 days, ~$6bn target; 2025 revenue RMB 1.69bn, +335%), </w:t>
      </w:r>
      <w:r>
        <w:rPr>
          <w:rFonts w:ascii="Georgia" w:hAnsi="Georgia" w:eastAsia="Georgia"/>
          <w:b/>
          <w:i w:val="0"/>
          <w:color w:val="181A1F"/>
          <w:sz w:val="21"/>
        </w:rPr>
        <w:t>UBTech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(HKEX:9880; U-series orders &gt;13,361), </w:t>
      </w:r>
      <w:r>
        <w:rPr>
          <w:rFonts w:ascii="Georgia" w:hAnsi="Georgia" w:eastAsia="Georgia"/>
          <w:b/>
          <w:i w:val="0"/>
          <w:color w:val="181A1F"/>
          <w:sz w:val="21"/>
        </w:rPr>
        <w:t>AgiBot/Zhiyuan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(~$6.4bn, HK IPO planned H2-2026), </w:t>
      </w:r>
      <w:r>
        <w:rPr>
          <w:rFonts w:ascii="Georgia" w:hAnsi="Georgia" w:eastAsia="Georgia"/>
          <w:b/>
          <w:i w:val="0"/>
          <w:color w:val="181A1F"/>
          <w:sz w:val="21"/>
        </w:rPr>
        <w:t>Galbot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(~$3bn), </w:t>
      </w:r>
      <w:r>
        <w:rPr>
          <w:rFonts w:ascii="Georgia" w:hAnsi="Georgia" w:eastAsia="Georgia"/>
          <w:b/>
          <w:i w:val="0"/>
          <w:color w:val="181A1F"/>
          <w:sz w:val="21"/>
        </w:rPr>
        <w:t>Fourier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(~$1.1bn). Robotaxi/AV — a direct EV-chain spillover: </w:t>
      </w:r>
      <w:r>
        <w:rPr>
          <w:rFonts w:ascii="Georgia" w:hAnsi="Georgia" w:eastAsia="Georgia"/>
          <w:b/>
          <w:i w:val="0"/>
          <w:color w:val="181A1F"/>
          <w:sz w:val="21"/>
        </w:rPr>
        <w:t>Baidu Apollo Go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(&gt;22m cumulative rides, 27 cities), </w:t>
      </w:r>
      <w:r>
        <w:rPr>
          <w:rFonts w:ascii="Georgia" w:hAnsi="Georgia" w:eastAsia="Georgia"/>
          <w:b/>
          <w:i w:val="0"/>
          <w:color w:val="181A1F"/>
          <w:sz w:val="21"/>
        </w:rPr>
        <w:t>Pony.ai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(NASDAQ:PONY), </w:t>
      </w:r>
      <w:r>
        <w:rPr>
          <w:rFonts w:ascii="Georgia" w:hAnsi="Georgia" w:eastAsia="Georgia"/>
          <w:b/>
          <w:i w:val="0"/>
          <w:color w:val="181A1F"/>
          <w:sz w:val="21"/>
        </w:rPr>
        <w:t>WeRide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(NASDAQ:WRD, ~$2.4bn), </w:t>
      </w:r>
      <w:r>
        <w:rPr>
          <w:rFonts w:ascii="Georgia" w:hAnsi="Georgia" w:eastAsia="Georgia"/>
          <w:b/>
          <w:i w:val="0"/>
          <w:color w:val="181A1F"/>
          <w:sz w:val="21"/>
        </w:rPr>
        <w:t>Momenta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(HKEX:6880, ~$9bn IPO, debuted Jul-2026; ~64.5% of the independent urban-NOA market). Supporting silicon: </w:t>
      </w:r>
      <w:r>
        <w:rPr>
          <w:rFonts w:ascii="Georgia" w:hAnsi="Georgia" w:eastAsia="Georgia"/>
          <w:b/>
          <w:i w:val="0"/>
          <w:color w:val="181A1F"/>
          <w:sz w:val="21"/>
        </w:rPr>
        <w:t>Horizon Robotics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(HKEX:9660).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Capability &amp; economics.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China leads on </w:t>
      </w:r>
      <w:r>
        <w:rPr>
          <w:rFonts w:ascii="Georgia" w:hAnsi="Georgia" w:eastAsia="Georgia"/>
          <w:b w:val="0"/>
          <w:i/>
          <w:color w:val="181A1F"/>
          <w:sz w:val="21"/>
        </w:rPr>
        <w:t>volume and price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(295k industrial robots installed in 2024, ~54% of global; humanoids shipping at price points far below Figure/1X) but not yet on </w:t>
      </w:r>
      <w:r>
        <w:rPr>
          <w:rFonts w:ascii="Georgia" w:hAnsi="Georgia" w:eastAsia="Georgia"/>
          <w:b w:val="0"/>
          <w:i/>
          <w:color w:val="181A1F"/>
          <w:sz w:val="21"/>
        </w:rPr>
        <w:t>profitability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every name is loss-making (Horizon: RMB 10.5bn loss on RMB 3.8bn revenue). Backed by the ~$138bn AI+robotics state fund and ~¥1tn robotics program. US humanoid peers (Figure ~$39bn) carry far higher valuations on far less revenue — a valuation asymmetry worth watching.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Investability — the most open China-AI layer for foreigners.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Several names are US- or HK-listed and </w:t>
      </w:r>
      <w:r>
        <w:rPr>
          <w:rFonts w:ascii="Georgia" w:hAnsi="Georgia" w:eastAsia="Georgia"/>
          <w:b w:val="0"/>
          <w:i/>
          <w:color w:val="181A1F"/>
          <w:sz w:val="21"/>
        </w:rPr>
        <w:t>not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obviously Entity-flagged: WeRide, Pony.ai, Momenta, UBTech, Horizon Robotics. This is where a foreign investor can get relatively clean embodied-AI exposure — with the caveat that these are early, cash-burning, and volatile.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4. The horizontal overlay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4.1 Policy &amp; industrial strategy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Four reinforcing tracks: (1) the </w:t>
      </w:r>
      <w:r>
        <w:rPr>
          <w:rFonts w:ascii="Georgia" w:hAnsi="Georgia" w:eastAsia="Georgia"/>
          <w:b/>
          <w:i w:val="0"/>
          <w:color w:val="181A1F"/>
          <w:sz w:val="21"/>
        </w:rPr>
        <w:t>15th FYP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(AI as primary national objective; diffusion targets); (2) </w:t>
      </w:r>
      <w:r>
        <w:rPr>
          <w:rFonts w:ascii="Georgia" w:hAnsi="Georgia" w:eastAsia="Georgia"/>
          <w:b/>
          <w:i w:val="0"/>
          <w:color w:val="181A1F"/>
          <w:sz w:val="21"/>
        </w:rPr>
        <w:t>mega-funds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~$295bn national DC grid, ~$138bn AI+robotics fund, the "Big Fund" Phase III at RMB 344bn (~$47.5bn, largest phase, now explicitly covering HBM/AI-semis); (3) </w:t>
      </w:r>
      <w:r>
        <w:rPr>
          <w:rFonts w:ascii="Georgia" w:hAnsi="Georgia" w:eastAsia="Georgia"/>
          <w:b/>
          <w:i w:val="0"/>
          <w:color w:val="181A1F"/>
          <w:sz w:val="21"/>
        </w:rPr>
        <w:t>mandates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50% domestic equipment for new fabs, escalating domestic-chip rules for state DCs (50% → full foreign-accelerator ban → ≥80% grid), SOE adoption; (4) the Aug-2025 </w:t>
      </w:r>
      <w:r>
        <w:rPr>
          <w:rFonts w:ascii="Georgia" w:hAnsi="Georgia" w:eastAsia="Georgia"/>
          <w:b/>
          <w:i w:val="0"/>
          <w:color w:val="181A1F"/>
          <w:sz w:val="21"/>
        </w:rPr>
        <w:t>"AI+"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State Council initiative. The through-line: policy converts technical uncertainty into demand certainty.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4.2 Export controls &amp; geopolitics (timeline)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Controls turned </w:t>
      </w:r>
      <w:r>
        <w:rPr>
          <w:rFonts w:ascii="Georgia" w:hAnsi="Georgia" w:eastAsia="Georgia"/>
          <w:b/>
          <w:i w:val="0"/>
          <w:color w:val="181A1F"/>
          <w:sz w:val="21"/>
        </w:rPr>
        <w:t>bidirectional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in 2025–26. Tightening peaked with Dec-2024 HBM + Foreign-Direct-Product-Rule controls and rolling Entity-List additions (Mar-2025 tranche hit NAURA/SMIC units). But H20 (banned Apr-2025, restored with a 15% fee Aug-2025) and H200 (case-by-case since Jan-2026 with a 25% tariff, capped at ≤50% of US-customer volume) both </w:t>
      </w:r>
      <w:r>
        <w:rPr>
          <w:rFonts w:ascii="Georgia" w:hAnsi="Georgia" w:eastAsia="Georgia"/>
          <w:b w:val="0"/>
          <w:i/>
          <w:color w:val="181A1F"/>
          <w:sz w:val="21"/>
        </w:rPr>
        <w:t>loosened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while China paused (not repealed) its rare-earth/gallium/germanium leverage through ~Nov-2026 as part of a post-summit truce. The proposed </w:t>
      </w:r>
      <w:r>
        <w:rPr>
          <w:rFonts w:ascii="Georgia" w:hAnsi="Georgia" w:eastAsia="Georgia"/>
          <w:b/>
          <w:i w:val="0"/>
          <w:color w:val="181A1F"/>
          <w:sz w:val="21"/>
        </w:rPr>
        <w:t>MATCH Act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would ban all ASML DUV to China (~20% of ASML 2026 revenue) and names the champions explicitly. Taiwan remains the tail risk: not the modal 12-month outcome per the reference analysts, but a portfolio-defining scenario whose mere possibility is itself an inflationary, spending-inducing force.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4.3 Talent &amp; R&amp;D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China's edge is </w:t>
      </w:r>
      <w:r>
        <w:rPr>
          <w:rFonts w:ascii="Georgia" w:hAnsi="Georgia" w:eastAsia="Georgia"/>
          <w:b w:val="0"/>
          <w:i/>
          <w:color w:val="181A1F"/>
          <w:sz w:val="21"/>
        </w:rPr>
        <w:t>applied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engineering density and open-source contribution (DeepSeek, Qwen, Kimi, MiniMax all ship influential open weights). The state has grown protective as the stack has gained value — credible reports of intervening against talent/IP moving abroad (e.g., via Singapore vehicles) and restrictions on staff at leading labs. Treat the talent layer as a strategic asset that is increasingly </w:t>
      </w:r>
      <w:r>
        <w:rPr>
          <w:rFonts w:ascii="Georgia" w:hAnsi="Georgia" w:eastAsia="Georgia"/>
          <w:b w:val="0"/>
          <w:i/>
          <w:color w:val="181A1F"/>
          <w:sz w:val="21"/>
        </w:rPr>
        <w:t>managed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like one.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4.4 Capital markets, the IPO wave &amp; the investable basket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0605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po_po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60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7 — 2025–26 China AI-stack IPOs, debut price moves. Sources: WEB (B/C).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The </w:t>
      </w:r>
      <w:r>
        <w:rPr>
          <w:rFonts w:ascii="Georgia" w:hAnsi="Georgia" w:eastAsia="Georgia"/>
          <w:b/>
          <w:i w:val="0"/>
          <w:color w:val="181A1F"/>
          <w:sz w:val="21"/>
        </w:rPr>
        <w:t>Sept-2024 "slow-bull" pivot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reframed the equity market as a strategic financing tool for national champions and a savings vehicle to replace property. The result is the 2025–26 </w:t>
      </w:r>
      <w:r>
        <w:rPr>
          <w:rFonts w:ascii="Georgia" w:hAnsi="Georgia" w:eastAsia="Georgia"/>
          <w:b/>
          <w:i w:val="0"/>
          <w:color w:val="181A1F"/>
          <w:sz w:val="21"/>
        </w:rPr>
        <w:t>IPO cluster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: Zhipu, MiniMax, Biren, Iluvatar and Montage's H-share all listing within ~5 weeks; Moore Threads/MetaX on STAR with +468%/+693% day-one pops; CXMT and YMTC the next, much larger tests. Montage's A/H premium </w:t>
      </w:r>
      <w:r>
        <w:rPr>
          <w:rFonts w:ascii="Georgia" w:hAnsi="Georgia" w:eastAsia="Georgia"/>
          <w:b w:val="0"/>
          <w:i/>
          <w:color w:val="181A1F"/>
          <w:sz w:val="21"/>
        </w:rPr>
        <w:t>inverted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(H went from a 44% discount to a premium), a marker of international conviction. Forward P/Es for the broad China-AI set sit ~18–19 — similar to global peers — but off a far lower earnings base, which is the bull case </w:t>
      </w:r>
      <w:r>
        <w:rPr>
          <w:rFonts w:ascii="Georgia" w:hAnsi="Georgia" w:eastAsia="Georgia"/>
          <w:b w:val="0"/>
          <w:i/>
          <w:color w:val="181A1F"/>
          <w:sz w:val="21"/>
        </w:rPr>
        <w:t>and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the reason earnings are unstable enough to make multiples unreliable (REF-BW-01).</w:t>
      </w:r>
    </w:p>
    <w:p>
      <w:pPr>
        <w:spacing w:after="120" w:line="300" w:lineRule="auto"/>
      </w:pPr>
      <w:r>
        <w:rPr>
          <w:rFonts w:ascii="Georgia" w:hAnsi="Georgia" w:eastAsia="Georgia"/>
          <w:b/>
          <w:i w:val="0"/>
          <w:color w:val="181A1F"/>
          <w:sz w:val="21"/>
        </w:rPr>
        <w:t>The access overlay (decisive for allocators).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Treasury's OISP (broadened by the Dec-2025 NDAA/COINS Act) now overlaps heavily with Entity-List flags on Moore Threads, MetaX, Biren, and Kunlunxin — making the highest-momentum GPU IPOs </w:t>
      </w:r>
      <w:r>
        <w:rPr>
          <w:rFonts w:ascii="Georgia" w:hAnsi="Georgia" w:eastAsia="Georgia"/>
          <w:b/>
          <w:i w:val="0"/>
          <w:color w:val="181A1F"/>
          <w:sz w:val="21"/>
        </w:rPr>
        <w:t>effectively closed to US capital even while they trade freely in Hong Kong</w:t>
      </w:r>
      <w:r>
        <w:rPr>
          <w:rFonts w:ascii="Georgia" w:hAnsi="Georgia" w:eastAsia="Georgia"/>
          <w:b w:val="0"/>
          <w:i w:val="0"/>
          <w:color w:val="181A1F"/>
          <w:sz w:val="21"/>
        </w:rPr>
        <w:t>. Foreign-investable, non-flagged exposures cluster in the platform incumbents (Alibaba, Tencent, Baidu), Montage, CATL, and parts of L9 (WeRide, Pony.ai, Momenta, UBTech, Horizon).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5. Synthesis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5.1 Where value is captured — bottleneck economics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Margin pools where a scarce, hard-to-replicate capability meets captive demand. Today that is: </w:t>
      </w:r>
      <w:r>
        <w:rPr>
          <w:rFonts w:ascii="Georgia" w:hAnsi="Georgia" w:eastAsia="Georgia"/>
          <w:b/>
          <w:i w:val="0"/>
          <w:color w:val="181A1F"/>
          <w:sz w:val="21"/>
        </w:rPr>
        <w:t>lithography/EUV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(the ultimate chokepoint, but not yet investable domestically), </w:t>
      </w:r>
      <w:r>
        <w:rPr>
          <w:rFonts w:ascii="Georgia" w:hAnsi="Georgia" w:eastAsia="Georgia"/>
          <w:b/>
          <w:i w:val="0"/>
          <w:color w:val="181A1F"/>
          <w:sz w:val="21"/>
        </w:rPr>
        <w:t>advanced foundry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(SMIC — the shared scarce resource), </w:t>
      </w:r>
      <w:r>
        <w:rPr>
          <w:rFonts w:ascii="Georgia" w:hAnsi="Georgia" w:eastAsia="Georgia"/>
          <w:b/>
          <w:i w:val="0"/>
          <w:color w:val="181A1F"/>
          <w:sz w:val="21"/>
        </w:rPr>
        <w:t>memory interface/interconnect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(Montage — a genuine global incumbent), </w:t>
      </w:r>
      <w:r>
        <w:rPr>
          <w:rFonts w:ascii="Georgia" w:hAnsi="Georgia" w:eastAsia="Georgia"/>
          <w:b/>
          <w:i w:val="0"/>
          <w:color w:val="181A1F"/>
          <w:sz w:val="21"/>
        </w:rPr>
        <w:t>advanced packaging/HBM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(emerging), and </w:t>
      </w:r>
      <w:r>
        <w:rPr>
          <w:rFonts w:ascii="Georgia" w:hAnsi="Georgia" w:eastAsia="Georgia"/>
          <w:b/>
          <w:i w:val="0"/>
          <w:color w:val="181A1F"/>
          <w:sz w:val="21"/>
        </w:rPr>
        <w:t>power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(China's structural edge, best played via CATL/grid). The model and app layers are </w:t>
      </w:r>
      <w:r>
        <w:rPr>
          <w:rFonts w:ascii="Georgia" w:hAnsi="Georgia" w:eastAsia="Georgia"/>
          <w:b w:val="0"/>
          <w:i/>
          <w:color w:val="181A1F"/>
          <w:sz w:val="21"/>
        </w:rPr>
        <w:t>commoditizing by design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China's strategy is to make intelligence cheap infrastructure, which caps value capture there and pushes it down into hardware and up into physical AI.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5.2 China-vs-US scorecard (capability gap · timeline · access)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0984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corec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98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7A828E"/>
          <w:sz w:val="17"/>
        </w:rPr>
        <w:t>Figure 8 — Scorecard: capability gap × foreign investability, by layer.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B02A1B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7"/>
              </w:rPr>
              <w:t>Layer</w:t>
            </w:r>
          </w:p>
        </w:tc>
        <w:tc>
          <w:tcPr>
            <w:tcW w:type="dxa" w:w="2340"/>
            <w:shd w:val="clear" w:fill="B02A1B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7"/>
              </w:rPr>
              <w:t>Gap to frontier</w:t>
            </w:r>
          </w:p>
        </w:tc>
        <w:tc>
          <w:tcPr>
            <w:tcW w:type="dxa" w:w="2340"/>
            <w:shd w:val="clear" w:fill="B02A1B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7"/>
              </w:rPr>
              <w:t>Timeline to parity</w:t>
            </w:r>
          </w:p>
        </w:tc>
        <w:tc>
          <w:tcPr>
            <w:tcW w:type="dxa" w:w="2340"/>
            <w:shd w:val="clear" w:fill="B02A1B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7"/>
              </w:rPr>
              <w:t>Foreign-investable?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L0 Power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China </w:t>
            </w:r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ahead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Yes (CATL)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L1 Equipment/EDA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1–3 gen (EUV/EDA widest)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EUV: lab ~2028, HVM 2030s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Restricted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L2 Foundry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~2–3 nodes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Gated on EUV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Restricted (HK)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L3 Memory/HBM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HBM ~3–4 yr; DRAM closing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HBM3 ~2027+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Restricted post-IPO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L4 AI chips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~1–2 gen device; closer at rack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SW (CUDA) 3–5 yr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Mostly </w:t>
            </w:r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closed</w:t>
            </w:r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 to US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L5 Interconnect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China </w:t>
            </w:r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at frontier</w:t>
            </w:r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 (Montage)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Yes</w:t>
            </w:r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 (Montage)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L6 Cloud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Behind on scale/cost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3–5 yr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Yes</w:t>
            </w:r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 xml:space="preserve"> (BABA/Tencent)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L7 Models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Months at frontier; open-weight competitive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Rolling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Parents yes; labs restricted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L8 Apps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Consumer ahead; enterprise behind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Via parents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L9 Physical AI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Volume-lead; profitability-behind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81A1F"/>
                <w:sz w:val="17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 w:eastAsia="Calibri"/>
                <w:b/>
                <w:i w:val="0"/>
                <w:color w:val="181A1F"/>
                <w:sz w:val="17"/>
              </w:rPr>
              <w:t>Most open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5.3 The investable basket (stack-mapped)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Core, foreign-investable, high-conviction: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Alibaba (L4/6/7), Tencent (L6/7), Montage (L5), CATL (L0), Baidu (L4/6/7).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High-conviction, access-constrained: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NAURA, AMEC, ACM (L1); SMIC, Hua Hong (L2); Cambricon (L4) — own via HK lines or Connect where eligible; watch Entity/OISP.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Event-driven / pipeline: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CXMT, YMTC (L3 IPOs); Kunlunxin (L4 IPO); Unitree, AgiBot (L9 IPOs).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Cleaner embodied-AI access: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WeRide, Pony.ai, Momenta, UBTech, Horizon (L9).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Construct as a </w:t>
      </w:r>
      <w:r>
        <w:rPr>
          <w:rFonts w:ascii="Georgia" w:hAnsi="Georgia" w:eastAsia="Georgia"/>
          <w:b w:val="0"/>
          <w:i/>
          <w:color w:val="181A1F"/>
          <w:sz w:val="21"/>
        </w:rPr>
        <w:t>diversifier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(low correlation to the global AI supply chain), sized for the Entity-List/OISP overlay and the policy put beneath the market — not as concentrated growth beta.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5.4 Scenarios (2027 / 2030)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Base: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Indigenization advances unevenly — foundry/memory/interconnect/power progress, EUV lags. China fields competitive rack-scale systems and open models; capex cycle sustained by policy. China-AI equities compound off a low base with high dispersion.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Bull: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 domestic EUV or HBM breakthrough, or a decisive rack-scale win, closes the compute gap; power advantage converts into a build-out that outpaces US expectations. Champions re-rate toward global peers; the diversifier becomes a growth engine.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Bear: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EUV stalls, yields stay low, the demand mandate outruns deliverable technology; a Taiwan/rare-earth flashpoint or an OISP tightening strands foreign capital. Policy-inflated multiples de-rate hard.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5.5 Risk register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Policy reversal (low — commitment is structural); </w:t>
      </w:r>
      <w:r>
        <w:rPr>
          <w:rFonts w:ascii="Georgia" w:hAnsi="Georgia" w:eastAsia="Georgia"/>
          <w:b/>
          <w:i w:val="0"/>
          <w:color w:val="181A1F"/>
          <w:sz w:val="21"/>
        </w:rPr>
        <w:t>technology failure at EUV/HBM (the key gating risk)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; demand-mandate outrunning capability; overbuild/valuation air-pocket (policy-inflated multiples); geopolitical flashpoint (Taiwan/rare earths); </w:t>
      </w:r>
      <w:r>
        <w:rPr>
          <w:rFonts w:ascii="Georgia" w:hAnsi="Georgia" w:eastAsia="Georgia"/>
          <w:b/>
          <w:i w:val="0"/>
          <w:color w:val="181A1F"/>
          <w:sz w:val="21"/>
        </w:rPr>
        <w:t>investability/regulatory risk (Entity-List + OISP stranding US capital)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— the most underappreciated practical risk for Western allocators.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181A1F"/>
          <w:sz w:val="25"/>
        </w:rPr>
        <w:t>5.6 Second-order effects</w:t>
      </w:r>
    </w:p>
    <w:p>
      <w:pPr>
        <w:spacing w:after="120" w:line="300" w:lineRule="auto"/>
      </w:pP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Global-equity valuation convergence (US↔non-US risk-premium compression); a structural bid under the </w:t>
      </w:r>
      <w:r>
        <w:rPr>
          <w:rFonts w:ascii="Georgia" w:hAnsi="Georgia" w:eastAsia="Georgia"/>
          <w:b/>
          <w:i w:val="0"/>
          <w:color w:val="181A1F"/>
          <w:sz w:val="21"/>
        </w:rPr>
        <w:t>memory cycle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(indigenous HBM demand); </w:t>
      </w:r>
      <w:r>
        <w:rPr>
          <w:rFonts w:ascii="Georgia" w:hAnsi="Georgia" w:eastAsia="Georgia"/>
          <w:b/>
          <w:i w:val="0"/>
          <w:color w:val="181A1F"/>
          <w:sz w:val="21"/>
        </w:rPr>
        <w:t>energy/commodities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(China's power/grid/storage build); downward pressure on </w:t>
      </w:r>
      <w:r>
        <w:rPr>
          <w:rFonts w:ascii="Georgia" w:hAnsi="Georgia" w:eastAsia="Georgia"/>
          <w:b/>
          <w:i w:val="0"/>
          <w:color w:val="181A1F"/>
          <w:sz w:val="21"/>
        </w:rPr>
        <w:t>global token pricing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as China commoditizes open-weight intelligence; and a persistent </w:t>
      </w:r>
      <w:r>
        <w:rPr>
          <w:rFonts w:ascii="Georgia" w:hAnsi="Georgia" w:eastAsia="Georgia"/>
          <w:b/>
          <w:i w:val="0"/>
          <w:color w:val="181A1F"/>
          <w:sz w:val="21"/>
        </w:rPr>
        <w:t>mercantilist</w:t>
      </w:r>
      <w:r>
        <w:rPr>
          <w:rFonts w:ascii="Georgia" w:hAnsi="Georgia" w:eastAsia="Georgia"/>
          <w:b w:val="0"/>
          <w:i w:val="0"/>
          <w:color w:val="181A1F"/>
          <w:sz w:val="21"/>
        </w:rPr>
        <w:t xml:space="preserve"> impulse as strategic-sector strength coexists with weak domestic demand.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B02A1B"/>
          <w:sz w:val="32"/>
        </w:rPr>
        <w:t>Appendix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A. Methodology &amp; confidence grading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see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/database/schema.md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and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/database/RECONCILIATION.md</w:t>
      </w:r>
      <w:r>
        <w:rPr>
          <w:rFonts w:ascii="Georgia" w:hAnsi="Georgia" w:eastAsia="Georgia"/>
          <w:b w:val="0"/>
          <w:i w:val="0"/>
          <w:color w:val="181A1F"/>
          <w:sz w:val="20"/>
        </w:rPr>
        <w:t>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B. Company master &amp; data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/database/company_master.csv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(43 cos.),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metrics_timeseries.csv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(192),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policy_funding_tracker.csv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(36),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model_catalog.csv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(21),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chip_catalog.csv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(26),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sources.csv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(119).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C. Analyst pod memos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full detail in </w:t>
      </w:r>
      <w:r>
        <w:rPr>
          <w:rFonts w:ascii="Consolas" w:hAnsi="Consolas" w:eastAsia="Consolas"/>
          <w:b w:val="0"/>
          <w:i w:val="0"/>
          <w:color w:val="2C6E7A"/>
          <w:sz w:val="19"/>
        </w:rPr>
        <w:t>/research/pod1…pod6_*.md</w:t>
      </w:r>
      <w:r>
        <w:rPr>
          <w:rFonts w:ascii="Georgia" w:hAnsi="Georgia" w:eastAsia="Georgia"/>
          <w:b w:val="0"/>
          <w:i w:val="0"/>
          <w:color w:val="181A1F"/>
          <w:sz w:val="20"/>
        </w:rPr>
        <w:t>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D. Key open questions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Nvidia's true China share; CXMT/YMTC valuations; indigenous-EUV timeline; Biren ticker/entity status (see RECONCILIATION.md).</w:t>
      </w:r>
    </w:p>
    <w:p>
      <w:pPr>
        <w:pStyle w:val="ListBullet"/>
        <w:spacing w:after="40"/>
      </w:pPr>
      <w:r>
        <w:rPr>
          <w:rFonts w:ascii="Georgia" w:hAnsi="Georgia" w:eastAsia="Georgia"/>
          <w:b/>
          <w:i w:val="0"/>
          <w:color w:val="181A1F"/>
          <w:sz w:val="20"/>
        </w:rPr>
        <w:t>E. Reference scaffolding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— Bridgewater ×3, Sands Capital, Exponential View (</w:t>
      </w:r>
      <w:r>
        <w:rPr>
          <w:rFonts w:ascii="Consolas" w:hAnsi="Consolas" w:eastAsia="Consolas"/>
          <w:b w:val="0"/>
          <w:i w:val="0"/>
          <w:color w:val="2C6E7A"/>
          <w:sz w:val="19"/>
        </w:rPr>
        <w:t>sources.csv</w:t>
      </w:r>
      <w:r>
        <w:rPr>
          <w:rFonts w:ascii="Georgia" w:hAnsi="Georgia" w:eastAsia="Georgia"/>
          <w:b w:val="0"/>
          <w:i w:val="0"/>
          <w:color w:val="181A1F"/>
          <w:sz w:val="20"/>
        </w:rPr>
        <w:t xml:space="preserve"> REF-*).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