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宋体" w:hAnsi="宋体" w:eastAsia="宋体" w:cs="宋体" w:hint="eastAsia"/>
          <w:sz w:val="44"/>
          <w:lang w:eastAsia="zh-CN"/>
        </w:rPr>
        <w:t>毕业论文（预演模拟稿）</w:t>
      </w:r>
    </w:p>
    <w:p>
      <w:pPr>
        <w:spacing w:before="200"/>
      </w:pPr>
      <w:r>
        <w:rPr>
          <w:color w:val="444444"/>
          <w:sz w:val="28"/>
        </w:rPr>
        <w:t>GRADUATION THESIS</w:t>
      </w:r>
    </w:p>
    <w:p>
      <w:pPr>
        <w:spacing w:line="384" w:lineRule="auto" w:before="2200"/>
      </w:pPr>
      <w:r>
        <w:rPr>
          <w:rFonts w:ascii="宋体" w:hAnsi="宋体" w:eastAsia="宋体" w:cs="宋体" w:hint="eastAsia"/>
          <w:sz w:val="40"/>
          <w:lang w:eastAsia="zh-CN"/>
        </w:rPr>
        <w:t>基于年报文本挖掘的企业数字化转型测度研究</w:t>
        <w:br/>
      </w:r>
      <w:r>
        <w:rPr>
          <w:rFonts w:ascii="宋体" w:hAnsi="宋体" w:eastAsia="宋体" w:cs="宋体" w:hint="eastAsia"/>
          <w:sz w:val="40"/>
          <w:lang w:eastAsia="zh-CN"/>
        </w:rPr>
        <w:t>——以中国A股上市公司为例</w:t>
      </w:r>
    </w:p>
    <w:p>
      <w:pPr>
        <w:spacing w:line="528" w:lineRule="auto" w:before="2000"/>
      </w:pPr>
      <w:r>
        <w:rPr>
          <w:rFonts w:ascii="宋体" w:eastAsia="宋体" w:hAnsi="宋体" w:cs="宋体" w:hint="eastAsia"/>
          <w:sz w:val="26"/>
          <w:lang w:eastAsia="zh-CN"/>
        </w:rPr>
        <w:t>学科专业：信息管理与数据分析</w:t>
        <w:br/>
      </w:r>
      <w:r>
        <w:rPr>
          <w:rFonts w:ascii="宋体" w:eastAsia="宋体" w:hAnsi="宋体" w:cs="宋体" w:hint="eastAsia"/>
          <w:sz w:val="26"/>
          <w:lang w:eastAsia="zh-CN"/>
        </w:rPr>
        <w:t>研究方向：非结构化数据的NLP测度构建</w:t>
        <w:br/>
      </w:r>
      <w:r>
        <w:rPr>
          <w:rFonts w:ascii="宋体" w:eastAsia="宋体" w:hAnsi="宋体" w:cs="宋体" w:hint="eastAsia"/>
          <w:sz w:val="26"/>
          <w:lang w:eastAsia="zh-CN"/>
        </w:rPr>
        <w:t>完成日期：2026年10月</w:t>
      </w:r>
    </w:p>
    <w:p>
      <w:pPr>
        <w:spacing w:before="1400"/>
        <w:ind w:firstLine="0"/>
        <w:jc w:val="center"/>
      </w:pPr>
      <w:r>
        <w:rPr>
          <w:rFonts w:ascii="宋体" w:hAnsi="宋体" w:eastAsia="宋体" w:cs="宋体" w:hint="eastAsia"/>
          <w:color w:val="444444"/>
          <w:sz w:val="21"/>
          <w:lang w:eastAsia="zh-CN"/>
        </w:rPr>
        <w:t>说明：本文为运用</w:t>
      </w:r>
      <w:r>
        <w:rPr>
          <w:rFonts w:ascii="楷体" w:hAnsi="楷体"/>
          <w:color w:val="444444"/>
          <w:sz w:val="21"/>
        </w:rPr>
        <w:t>"NLP</w:t>
      </w:r>
      <w:r>
        <w:rPr>
          <w:rFonts w:ascii="宋体" w:hAnsi="宋体" w:eastAsia="宋体" w:cs="宋体" w:hint="eastAsia"/>
          <w:color w:val="444444"/>
          <w:sz w:val="21"/>
          <w:lang w:eastAsia="zh-CN"/>
        </w:rPr>
        <w:t>测度构建五步流水线</w:t>
      </w:r>
      <w:r>
        <w:rPr>
          <w:rFonts w:ascii="楷体" w:hAnsi="楷体"/>
          <w:color w:val="444444"/>
          <w:sz w:val="21"/>
        </w:rPr>
        <w:t>"</w:t>
      </w:r>
      <w:r>
        <w:rPr>
          <w:rFonts w:ascii="宋体" w:hAnsi="宋体" w:eastAsia="宋体" w:cs="宋体" w:hint="eastAsia"/>
          <w:color w:val="444444"/>
          <w:sz w:val="21"/>
          <w:lang w:eastAsia="zh-CN"/>
        </w:rPr>
        <w:t>方法完成的预演毕业论文模拟稿，基于可复现的模拟年报语料演示全流程，方法与统计流程可无损迁移至真实语料。</w:t>
      </w:r>
      <w:r/>
    </w:p>
    <w:p>
      <w:pPr>
        <w:sectPr>
          <w:type w:val="nextPage"/>
          <w:pgSz w:w="11906" w:h="16838"/>
          <w:pgMar w:top="1440" w:bottom="1440" w:left="1797" w:right="1797"/>
        </w:sectPr>
      </w:pPr>
    </w:p>
    <w:p>
      <w:pPr>
        <w:jc w:val="center"/>
      </w:pPr>
      <w:r/>
      <w:r>
        <w:t>目 录</w:t>
      </w:r>
    </w:p>
    <w:p>
      <w:hyperlink w:anchor="_Toc___">
        <w:r>
          <w:rPr>
            <w:rFonts w:hint="eastAsia"/>
            <w:color w:val="000000"/>
            <w:u w:val="none"/>
          </w:rPr>
          <w:t xml:space="preserve">摘要</w:t>
        </w:r>
      </w:hyperlink>
    </w:p>
    <w:p>
      <w:r>
        <w:t>目录</w:t>
      </w:r>
    </w:p>
    <w:p>
      <w:hyperlink w:anchor="_Toc_1__">
        <w:r>
          <w:rPr>
            <w:rFonts w:hint="eastAsia"/>
            <w:color w:val="000000"/>
            <w:u w:val="none"/>
          </w:rPr>
          <w:t xml:space="preserve">1. 绪论</w:t>
        </w:r>
      </w:hyperlink>
    </w:p>
    <w:p>
      <w:hyperlink w:anchor="_Toc_11____">
        <w:r>
          <w:rPr>
            <w:rFonts w:hint="eastAsia"/>
            <w:color w:val="000000"/>
            <w:u w:val="none"/>
          </w:rPr>
          <w:t xml:space="preserve">1.1 选题背景</w:t>
        </w:r>
      </w:hyperlink>
    </w:p>
    <w:p>
      <w:hyperlink w:anchor="_Toc_12____">
        <w:r>
          <w:rPr>
            <w:rFonts w:hint="eastAsia"/>
            <w:color w:val="000000"/>
            <w:u w:val="none"/>
          </w:rPr>
          <w:t xml:space="preserve">1.2 研究意义</w:t>
        </w:r>
      </w:hyperlink>
    </w:p>
    <w:p>
      <w:hyperlink w:anchor="_Toc_13_________">
        <w:r>
          <w:rPr>
            <w:rFonts w:hint="eastAsia"/>
            <w:color w:val="000000"/>
            <w:u w:val="none"/>
          </w:rPr>
          <w:t xml:space="preserve">1.3 文献综述与研究缺口</w:t>
        </w:r>
      </w:hyperlink>
    </w:p>
    <w:p>
      <w:hyperlink w:anchor="_Toc_14_________">
        <w:r>
          <w:rPr>
            <w:rFonts w:hint="eastAsia"/>
            <w:color w:val="000000"/>
            <w:u w:val="none"/>
          </w:rPr>
          <w:t xml:space="preserve">1.4 研究内容与论文结构</w:t>
        </w:r>
      </w:hyperlink>
    </w:p>
    <w:p>
      <w:hyperlink w:anchor="_Toc_2_______">
        <w:r>
          <w:rPr>
            <w:rFonts w:hint="eastAsia"/>
            <w:color w:val="000000"/>
            <w:u w:val="none"/>
          </w:rPr>
          <w:t xml:space="preserve">2. 研究设计与方法</w:t>
        </w:r>
      </w:hyperlink>
    </w:p>
    <w:p>
      <w:hyperlink w:anchor="_Toc_21_______">
        <w:r>
          <w:rPr>
            <w:rFonts w:hint="eastAsia"/>
            <w:color w:val="000000"/>
            <w:u w:val="none"/>
          </w:rPr>
          <w:t xml:space="preserve">2.1 数据来源与样本</w:t>
        </w:r>
      </w:hyperlink>
    </w:p>
    <w:p>
      <w:hyperlink w:anchor="_Toc_22_______">
        <w:r>
          <w:rPr>
            <w:rFonts w:hint="eastAsia"/>
            <w:color w:val="000000"/>
            <w:u w:val="none"/>
          </w:rPr>
          <w:t xml:space="preserve">2.2 五步测度流水线</w:t>
        </w:r>
      </w:hyperlink>
    </w:p>
    <w:p>
      <w:hyperlink w:anchor="_Toc_23_________">
        <w:r>
          <w:rPr>
            <w:rFonts w:hint="eastAsia"/>
            <w:color w:val="000000"/>
            <w:u w:val="none"/>
          </w:rPr>
          <w:t xml:space="preserve">2.3 测量指标与变量定义</w:t>
        </w:r>
      </w:hyperlink>
    </w:p>
    <w:p>
      <w:hyperlink w:anchor="_Toc_3_________">
        <w:r>
          <w:rPr>
            <w:rFonts w:hint="eastAsia"/>
            <w:color w:val="000000"/>
            <w:u w:val="none"/>
          </w:rPr>
          <w:t xml:space="preserve">3. 测度结果与实证分析</w:t>
        </w:r>
      </w:hyperlink>
    </w:p>
    <w:p>
      <w:hyperlink w:anchor="_Toc_31____">
        <w:r>
          <w:rPr>
            <w:rFonts w:hint="eastAsia"/>
            <w:color w:val="000000"/>
            <w:u w:val="none"/>
          </w:rPr>
          <w:t xml:space="preserve">3.1 描述统计</w:t>
        </w:r>
      </w:hyperlink>
    </w:p>
    <w:p>
      <w:hyperlink w:anchor="_Toc_32____">
        <w:r>
          <w:rPr>
            <w:rFonts w:hint="eastAsia"/>
            <w:color w:val="000000"/>
            <w:u w:val="none"/>
          </w:rPr>
          <w:t xml:space="preserve">3.2 信度检验</w:t>
        </w:r>
      </w:hyperlink>
    </w:p>
    <w:p>
      <w:hyperlink w:anchor="_Toc_33____">
        <w:r>
          <w:rPr>
            <w:rFonts w:hint="eastAsia"/>
            <w:color w:val="000000"/>
            <w:u w:val="none"/>
          </w:rPr>
          <w:t xml:space="preserve">3.3 效度检验</w:t>
        </w:r>
      </w:hyperlink>
    </w:p>
    <w:p>
      <w:hyperlink w:anchor="_Toc_34____">
        <w:r>
          <w:rPr>
            <w:rFonts w:hint="eastAsia"/>
            <w:color w:val="000000"/>
            <w:u w:val="none"/>
          </w:rPr>
          <w:t xml:space="preserve">3.4 回归分析</w:t>
        </w:r>
      </w:hyperlink>
    </w:p>
    <w:p>
      <w:hyperlink w:anchor="_Toc_35________________">
        <w:r>
          <w:rPr>
            <w:rFonts w:hint="eastAsia"/>
            <w:color w:val="000000"/>
            <w:u w:val="none"/>
          </w:rPr>
          <w:t xml:space="preserve">3.5 测度的进一步讨论：稳健性与偏差来源</w:t>
        </w:r>
      </w:hyperlink>
    </w:p>
    <w:p>
      <w:hyperlink w:anchor="_Toc_4__">
        <w:r>
          <w:rPr>
            <w:rFonts w:hint="eastAsia"/>
            <w:color w:val="000000"/>
            <w:u w:val="none"/>
          </w:rPr>
          <w:t xml:space="preserve">4. 结论</w:t>
        </w:r>
      </w:hyperlink>
    </w:p>
    <w:p>
      <w:hyperlink w:anchor="_Toc_41____">
        <w:r>
          <w:rPr>
            <w:rFonts w:hint="eastAsia"/>
            <w:color w:val="000000"/>
            <w:u w:val="none"/>
          </w:rPr>
          <w:t xml:space="preserve">4.1 主要发现</w:t>
        </w:r>
      </w:hyperlink>
    </w:p>
    <w:p>
      <w:hyperlink w:anchor="_Toc_42_____">
        <w:r>
          <w:rPr>
            <w:rFonts w:hint="eastAsia"/>
            <w:color w:val="000000"/>
            <w:u w:val="none"/>
          </w:rPr>
          <w:t xml:space="preserve">4.2 局限与展望</w:t>
        </w:r>
      </w:hyperlink>
    </w:p>
    <w:p>
      <w:hyperlink w:anchor="_Toc_____">
        <w:r>
          <w:rPr>
            <w:rFonts w:hint="eastAsia"/>
            <w:color w:val="000000"/>
            <w:u w:val="none"/>
          </w:rPr>
          <w:t xml:space="preserve">参考文献</w:t>
        </w:r>
      </w:hyperlink>
    </w:p>
    <w:p>
      <w:hyperlink w:anchor="_Toc___A__________">
        <w:r>
          <w:rPr>
            <w:rFonts w:hint="eastAsia"/>
            <w:color w:val="000000"/>
            <w:u w:val="none"/>
          </w:rPr>
          <w:t xml:space="preserve">附录A 数据来源说明（一句话版）</w:t>
        </w:r>
      </w:hyperlink>
    </w:p>
    <w:p>
      <w:hyperlink w:anchor="_Toc___B____">
        <w:r>
          <w:rPr>
            <w:rFonts w:hint="eastAsia"/>
            <w:color w:val="000000"/>
            <w:u w:val="none"/>
          </w:rPr>
          <w:t xml:space="preserve">附录B 复现说明</w:t>
        </w:r>
      </w:hyperlink>
    </w:p>
    <w:p>
      <w:bookmarkStart w:id="23" w:name="_Toc___"/>
      <w:bookmarkStart w:id="0" w:name="摘要"/>
      <w:pPr>
        <w:pStyle w:val="Heading2"/>
      </w:pPr>
      <w:bookmarkEnd w:id="0"/>
      <w:r>
        <w:rPr>
          <w:rFonts w:ascii="宋体" w:hAnsi="宋体" w:eastAsia="宋体" w:cs="宋体" w:hint="eastAsia"/>
          <w:sz w:val="28"/>
          <w:lang w:eastAsia="zh-CN"/>
        </w:rPr>
        <w:t>摘要</w:t>
      </w:r>
      <w:bookmarkEnd w:id="23"/>
    </w:p>
    <w:p>
      <w:pPr>
        <w:ind w:firstLine="480"/>
        <w:jc w:val="both"/>
      </w:pPr>
      <w:r>
        <w:rPr>
          <w:rFonts w:ascii="宋体" w:hAnsi="宋体" w:eastAsia="宋体" w:cs="宋体" w:hint="eastAsia"/>
          <w:lang w:eastAsia="zh-CN"/>
        </w:rPr>
        <w:t>数字化转型已成为企业高质量发展的核心议题，但</w:t>
      </w:r>
      <w:r>
        <w:rPr>
          <w:rFonts w:ascii="黑体" w:hAnsi="黑体"/>
        </w:rPr>
        <w:t>"</w:t>
      </w:r>
      <w:r>
        <w:rPr>
          <w:rFonts w:ascii="宋体" w:hAnsi="宋体" w:eastAsia="宋体" w:cs="宋体" w:hint="eastAsia"/>
          <w:lang w:eastAsia="zh-CN"/>
        </w:rPr>
        <w:t>数字化程度</w:t>
      </w:r>
      <w:r>
        <w:rPr>
          <w:rFonts w:ascii="黑体" w:hAnsi="黑体"/>
        </w:rPr>
        <w:t>"</w:t>
      </w:r>
      <w:r>
        <w:rPr>
          <w:rFonts w:ascii="宋体" w:hAnsi="宋体" w:eastAsia="宋体" w:cs="宋体" w:hint="eastAsia"/>
          <w:lang w:eastAsia="zh-CN"/>
        </w:rPr>
        <w:t>难以直接观测，亟需可复现、可检验的文本测度方法。本文以中国</w:t>
      </w:r>
      <w:r>
        <w:rPr>
          <w:rFonts w:ascii="黑体" w:hAnsi="黑体"/>
        </w:rPr>
        <w:t>A</w:t>
      </w:r>
      <w:r>
        <w:rPr>
          <w:rFonts w:ascii="宋体" w:hAnsi="宋体" w:eastAsia="宋体" w:cs="宋体" w:hint="eastAsia"/>
          <w:lang w:eastAsia="zh-CN"/>
        </w:rPr>
        <w:t>股上市公司为研究对象，基于企业年报</w:t>
      </w:r>
      <w:r>
        <w:rPr>
          <w:rFonts w:ascii="黑体" w:hAnsi="黑体"/>
        </w:rPr>
        <w:t>"</w:t>
      </w:r>
      <w:r>
        <w:rPr>
          <w:rFonts w:ascii="宋体" w:hAnsi="宋体" w:eastAsia="宋体" w:cs="宋体" w:hint="eastAsia"/>
          <w:lang w:eastAsia="zh-CN"/>
        </w:rPr>
        <w:t>经营讨论与分析</w:t>
      </w:r>
      <w:r>
        <w:rPr>
          <w:rFonts w:ascii="黑体" w:hAnsi="黑体"/>
        </w:rPr>
        <w:t>"</w:t>
      </w:r>
      <w:r>
        <w:rPr>
          <w:rFonts w:ascii="宋体" w:hAnsi="宋体" w:eastAsia="宋体" w:cs="宋体" w:hint="eastAsia"/>
          <w:lang w:eastAsia="zh-CN"/>
        </w:rPr>
        <w:t>章节的文本，运用自然语言处理方法构建企业数字化转型测度。研究遵循</w:t>
      </w:r>
      <w:r>
        <w:rPr>
          <w:rFonts w:ascii="黑体" w:hAnsi="黑体"/>
        </w:rPr>
        <w:t>"</w:t>
      </w:r>
      <w:r>
        <w:rPr>
          <w:rFonts w:ascii="宋体" w:hAnsi="宋体" w:eastAsia="宋体" w:cs="宋体" w:hint="eastAsia"/>
          <w:lang w:eastAsia="zh-CN"/>
        </w:rPr>
        <w:t>数据获取</w:t>
      </w:r>
      <w:r>
        <w:rPr>
          <w:rFonts w:ascii="黑体" w:hAnsi="黑体"/>
        </w:rPr>
        <w:t>—</w:t>
      </w:r>
      <w:r>
        <w:rPr>
          <w:rFonts w:ascii="宋体" w:hAnsi="宋体" w:eastAsia="宋体" w:cs="宋体" w:hint="eastAsia"/>
          <w:lang w:eastAsia="zh-CN"/>
        </w:rPr>
        <w:t>文本预处理</w:t>
      </w:r>
      <w:r>
        <w:rPr>
          <w:rFonts w:ascii="黑体" w:hAnsi="黑体"/>
        </w:rPr>
        <w:t>—</w:t>
      </w:r>
      <w:r>
        <w:rPr>
          <w:rFonts w:ascii="宋体" w:hAnsi="宋体" w:eastAsia="宋体" w:cs="宋体" w:hint="eastAsia"/>
          <w:lang w:eastAsia="zh-CN"/>
        </w:rPr>
        <w:t>中文分词</w:t>
      </w:r>
      <w:r>
        <w:rPr>
          <w:rFonts w:ascii="黑体" w:hAnsi="黑体"/>
        </w:rPr>
        <w:t>—</w:t>
      </w:r>
      <w:r>
        <w:rPr>
          <w:rFonts w:ascii="宋体" w:hAnsi="宋体" w:eastAsia="宋体" w:cs="宋体" w:hint="eastAsia"/>
          <w:lang w:eastAsia="zh-CN"/>
        </w:rPr>
        <w:t>词典匹配</w:t>
      </w:r>
      <w:r>
        <w:rPr>
          <w:rFonts w:ascii="黑体" w:hAnsi="黑体"/>
        </w:rPr>
        <w:t>—</w:t>
      </w:r>
      <w:r>
        <w:rPr>
          <w:rFonts w:ascii="宋体" w:hAnsi="宋体" w:eastAsia="宋体" w:cs="宋体" w:hint="eastAsia"/>
          <w:lang w:eastAsia="zh-CN"/>
        </w:rPr>
        <w:t>测度计算</w:t>
      </w:r>
      <w:r>
        <w:rPr>
          <w:rFonts w:ascii="黑体" w:hAnsi="黑体"/>
        </w:rPr>
        <w:t>"</w:t>
      </w:r>
      <w:r>
        <w:rPr>
          <w:rFonts w:ascii="宋体" w:hAnsi="宋体" w:eastAsia="宋体" w:cs="宋体" w:hint="eastAsia"/>
          <w:lang w:eastAsia="zh-CN"/>
        </w:rPr>
        <w:t>五步流水线：以年报文本为语料，经清洗与去停用词后采用</w:t>
      </w:r>
      <w:r>
        <w:rPr>
          <w:rFonts w:ascii="黑体" w:hAnsi="黑体"/>
        </w:rPr>
        <w:t>jieba</w:t>
      </w:r>
      <w:r>
        <w:rPr>
          <w:rFonts w:ascii="宋体" w:hAnsi="宋体" w:eastAsia="宋体" w:cs="宋体" w:hint="eastAsia"/>
          <w:lang w:eastAsia="zh-CN"/>
        </w:rPr>
        <w:t>分词，依据吴非等（</w:t>
      </w:r>
      <w:r>
        <w:rPr>
          <w:rFonts w:ascii="黑体" w:hAnsi="黑体"/>
        </w:rPr>
        <w:t>2021</w:t>
      </w:r>
      <w:r>
        <w:rPr>
          <w:rFonts w:ascii="宋体" w:hAnsi="宋体" w:eastAsia="宋体" w:cs="宋体" w:hint="eastAsia"/>
          <w:lang w:eastAsia="zh-CN"/>
        </w:rPr>
        <w:t>）的五维数字化转型关键词词典（人工智能、区块链、云计算、大数据、数字技术应用）进行整词匹配与词频统计，最终以词频加</w:t>
      </w:r>
      <w:r>
        <w:rPr>
          <w:rFonts w:ascii="黑体" w:hAnsi="黑体"/>
        </w:rPr>
        <w:t>1</w:t>
      </w:r>
      <w:r>
        <w:rPr>
          <w:rFonts w:ascii="宋体" w:hAnsi="宋体" w:eastAsia="宋体" w:cs="宋体" w:hint="eastAsia"/>
          <w:lang w:eastAsia="zh-CN"/>
        </w:rPr>
        <w:t>取自然对数构建主测度</w:t>
      </w:r>
      <w:r>
        <w:rPr>
          <w:rFonts w:ascii="黑体" w:hAnsi="黑体"/>
        </w:rPr>
        <w:t>DT</w:t>
      </w:r>
      <w:r>
        <w:rPr>
          <w:rFonts w:ascii="宋体" w:hAnsi="宋体" w:eastAsia="宋体" w:cs="宋体" w:hint="eastAsia"/>
          <w:lang w:eastAsia="zh-CN"/>
        </w:rPr>
        <w:t>，并输出企业</w:t>
      </w:r>
      <w:r>
        <w:rPr>
          <w:rFonts w:ascii="黑体" w:hAnsi="黑体"/>
        </w:rPr>
        <w:t>—</w:t>
      </w:r>
      <w:r>
        <w:rPr>
          <w:rFonts w:ascii="宋体" w:hAnsi="宋体" w:eastAsia="宋体" w:cs="宋体" w:hint="eastAsia"/>
          <w:lang w:eastAsia="zh-CN"/>
        </w:rPr>
        <w:t>年份面板数据。基于</w:t>
      </w:r>
      <w:r>
        <w:rPr>
          <w:rFonts w:ascii="黑体" w:hAnsi="黑体"/>
        </w:rPr>
        <w:t>60</w:t>
      </w:r>
      <w:r>
        <w:rPr>
          <w:rFonts w:ascii="宋体" w:hAnsi="宋体" w:eastAsia="宋体" w:cs="宋体" w:hint="eastAsia"/>
          <w:lang w:eastAsia="zh-CN"/>
        </w:rPr>
        <w:t>家企业</w:t>
      </w:r>
      <w:r>
        <w:rPr>
          <w:rFonts w:ascii="黑体" w:hAnsi="黑体"/>
        </w:rPr>
        <w:t>2019—2023</w:t>
      </w:r>
      <w:r>
        <w:rPr>
          <w:rFonts w:ascii="宋体" w:hAnsi="宋体" w:eastAsia="宋体" w:cs="宋体" w:hint="eastAsia"/>
          <w:lang w:eastAsia="zh-CN"/>
        </w:rPr>
        <w:t>年共</w:t>
      </w:r>
      <w:r>
        <w:rPr>
          <w:rFonts w:ascii="黑体" w:hAnsi="黑体"/>
        </w:rPr>
        <w:t>300</w:t>
      </w:r>
      <w:r>
        <w:rPr>
          <w:rFonts w:ascii="宋体" w:hAnsi="宋体" w:eastAsia="宋体" w:cs="宋体" w:hint="eastAsia"/>
          <w:lang w:eastAsia="zh-CN"/>
        </w:rPr>
        <w:t>个观测的检验结果表明：（</w:t>
      </w:r>
      <w:r>
        <w:rPr>
          <w:rFonts w:ascii="黑体" w:hAnsi="黑体"/>
        </w:rPr>
        <w:t>1</w:t>
      </w:r>
      <w:r>
        <w:rPr>
          <w:rFonts w:ascii="宋体" w:hAnsi="宋体" w:eastAsia="宋体" w:cs="宋体" w:hint="eastAsia"/>
          <w:lang w:eastAsia="zh-CN"/>
        </w:rPr>
        <w:t>）测度具有良好的信度，五维词频的</w:t>
      </w:r>
      <w:r>
        <w:rPr>
          <w:rFonts w:ascii="黑体" w:hAnsi="黑体"/>
        </w:rPr>
        <w:t>Cronbach's α</w:t>
      </w:r>
      <w:r>
        <w:rPr>
          <w:rFonts w:ascii="宋体" w:hAnsi="宋体" w:eastAsia="宋体" w:cs="宋体" w:hint="eastAsia"/>
          <w:lang w:eastAsia="zh-CN"/>
        </w:rPr>
        <w:t>系数为</w:t>
      </w:r>
      <w:r>
        <w:rPr>
          <w:rFonts w:ascii="黑体" w:hAnsi="黑体"/>
        </w:rPr>
        <w:t>0.706</w:t>
      </w:r>
      <w:r>
        <w:rPr>
          <w:rFonts w:ascii="宋体" w:hAnsi="宋体" w:eastAsia="宋体" w:cs="宋体" w:hint="eastAsia"/>
          <w:lang w:eastAsia="zh-CN"/>
        </w:rPr>
        <w:t>，斯皮尔曼</w:t>
      </w:r>
      <w:r>
        <w:rPr>
          <w:rFonts w:ascii="黑体" w:hAnsi="黑体"/>
        </w:rPr>
        <w:t>-</w:t>
      </w:r>
      <w:r>
        <w:rPr>
          <w:rFonts w:ascii="宋体" w:hAnsi="宋体" w:eastAsia="宋体" w:cs="宋体" w:hint="eastAsia"/>
          <w:lang w:eastAsia="zh-CN"/>
        </w:rPr>
        <w:t>布朗折半信度为</w:t>
      </w:r>
      <w:r>
        <w:rPr>
          <w:rFonts w:ascii="黑体" w:hAnsi="黑体"/>
        </w:rPr>
        <w:t>0.757</w:t>
      </w:r>
      <w:r>
        <w:rPr>
          <w:rFonts w:ascii="宋体" w:hAnsi="宋体" w:eastAsia="宋体" w:cs="宋体" w:hint="eastAsia"/>
          <w:lang w:eastAsia="zh-CN"/>
        </w:rPr>
        <w:t>；（</w:t>
      </w:r>
      <w:r>
        <w:rPr>
          <w:rFonts w:ascii="黑体" w:hAnsi="黑体"/>
        </w:rPr>
        <w:t>2</w:t>
      </w:r>
      <w:r>
        <w:rPr>
          <w:rFonts w:ascii="宋体" w:hAnsi="宋体" w:eastAsia="宋体" w:cs="宋体" w:hint="eastAsia"/>
          <w:lang w:eastAsia="zh-CN"/>
        </w:rPr>
        <w:t>）测度具有较好的效度，</w:t>
      </w:r>
      <w:r>
        <w:rPr>
          <w:rFonts w:ascii="黑体" w:hAnsi="黑体"/>
        </w:rPr>
        <w:t>DT</w:t>
      </w:r>
      <w:r>
        <w:rPr>
          <w:rFonts w:ascii="宋体" w:hAnsi="宋体" w:eastAsia="宋体" w:cs="宋体" w:hint="eastAsia"/>
          <w:lang w:eastAsia="zh-CN"/>
        </w:rPr>
        <w:t>与研发强度的相关系数为</w:t>
      </w:r>
      <w:r>
        <w:rPr>
          <w:rFonts w:ascii="黑体" w:hAnsi="黑体"/>
        </w:rPr>
        <w:t>0.570</w:t>
      </w:r>
      <w:r>
        <w:rPr>
          <w:rFonts w:ascii="宋体" w:hAnsi="宋体" w:eastAsia="宋体" w:cs="宋体" w:hint="eastAsia"/>
          <w:lang w:eastAsia="zh-CN"/>
        </w:rPr>
        <w:t>，高研发组的</w:t>
      </w:r>
      <w:r>
        <w:rPr>
          <w:rFonts w:ascii="黑体" w:hAnsi="黑体"/>
        </w:rPr>
        <w:t>DT</w:t>
      </w:r>
      <w:r>
        <w:rPr>
          <w:rFonts w:ascii="宋体" w:hAnsi="宋体" w:eastAsia="宋体" w:cs="宋体" w:hint="eastAsia"/>
          <w:lang w:eastAsia="zh-CN"/>
        </w:rPr>
        <w:t>均值显著高于低研发组；（</w:t>
      </w:r>
      <w:r>
        <w:rPr>
          <w:rFonts w:ascii="黑体" w:hAnsi="黑体"/>
        </w:rPr>
        <w:t>3</w:t>
      </w:r>
      <w:r>
        <w:rPr>
          <w:rFonts w:ascii="宋体" w:hAnsi="宋体" w:eastAsia="宋体" w:cs="宋体" w:hint="eastAsia"/>
          <w:lang w:eastAsia="zh-CN"/>
        </w:rPr>
        <w:t>）</w:t>
      </w:r>
      <w:r>
        <w:rPr>
          <w:rFonts w:ascii="黑体" w:hAnsi="黑体"/>
        </w:rPr>
        <w:t>DT</w:t>
      </w:r>
      <w:r>
        <w:rPr>
          <w:rFonts w:ascii="宋体" w:hAnsi="宋体" w:eastAsia="宋体" w:cs="宋体" w:hint="eastAsia"/>
          <w:lang w:eastAsia="zh-CN"/>
        </w:rPr>
        <w:t>随时间显著上升，企业规模与研发强度对</w:t>
      </w:r>
      <w:r>
        <w:rPr>
          <w:rFonts w:ascii="黑体" w:hAnsi="黑体"/>
        </w:rPr>
        <w:t>DT</w:t>
      </w:r>
      <w:r>
        <w:rPr>
          <w:rFonts w:ascii="宋体" w:hAnsi="宋体" w:eastAsia="宋体" w:cs="宋体" w:hint="eastAsia"/>
          <w:lang w:eastAsia="zh-CN"/>
        </w:rPr>
        <w:t>具有显著正向影响，回归模型拟合优度达</w:t>
      </w:r>
      <w:r>
        <w:rPr>
          <w:rFonts w:ascii="黑体" w:hAnsi="黑体"/>
        </w:rPr>
        <w:t>0.837</w:t>
      </w:r>
      <w:r>
        <w:rPr>
          <w:rFonts w:ascii="宋体" w:hAnsi="宋体" w:eastAsia="宋体" w:cs="宋体" w:hint="eastAsia"/>
          <w:lang w:eastAsia="zh-CN"/>
        </w:rPr>
        <w:t>。本文提供了一个从语料到面板、从信度效度检验到回归分析的完整、透明的</w:t>
      </w:r>
      <w:r>
        <w:rPr>
          <w:rFonts w:ascii="黑体" w:hAnsi="黑体"/>
        </w:rPr>
        <w:t>NLP</w:t>
      </w:r>
      <w:r>
        <w:rPr>
          <w:rFonts w:ascii="宋体" w:hAnsi="宋体" w:eastAsia="宋体" w:cs="宋体" w:hint="eastAsia"/>
          <w:lang w:eastAsia="zh-CN"/>
        </w:rPr>
        <w:t>测度构建范例，可为企业数字化转型的后续实证研究提供测度基础。</w:t>
      </w:r>
    </w:p>
    <w:p>
      <w:pPr>
        <w:ind w:firstLine="480"/>
        <w:jc w:val="both"/>
      </w:pPr>
      <w:r>
        <w:rPr>
          <w:rFonts w:ascii="宋体" w:hAnsi="宋体" w:eastAsia="宋体" w:cs="宋体" w:hint="eastAsia"/>
          <w:b/>
          <w:lang w:eastAsia="zh-CN"/>
        </w:rPr>
        <w:t>关键词</w:t>
      </w:r>
      <w:r>
        <w:rPr>
          <w:rFonts w:ascii="宋体" w:hAnsi="宋体" w:eastAsia="宋体" w:cs="宋体" w:hint="eastAsia"/>
          <w:lang w:eastAsia="zh-CN"/>
        </w:rPr>
        <w:t>：数字化转型；文本挖掘；词频分析；测度构建；信度效度</w:t>
      </w:r>
      <w:r/>
    </w:p>
    <w:p>
      <w:bookmarkStart w:id="1" w:name="目录"/>
      <w:pPr>
        <w:pStyle w:val="Heading2"/>
      </w:pPr>
      <w:bookmarkEnd w:id="1"/>
      <w:r>
        <w:rPr>
          <w:rFonts w:ascii="宋体" w:hAnsi="宋体" w:eastAsia="宋体" w:cs="宋体" w:hint="eastAsia"/>
          <w:sz w:val="28"/>
          <w:lang w:eastAsia="zh-CN"/>
        </w:rPr>
        <w:t>目录</w:t>
      </w:r>
    </w:p>
    <w:p>
      <w:pPr>
        <w:pStyle w:val="ListNumber"/>
        <w:numPr>
          <w:ilvl w:val="0"/>
          <w:numId w:val="10"/>
        </w:numPr>
      </w:pPr>
      <w:r>
        <w:rPr>
          <w:rFonts w:ascii="宋体" w:eastAsia="宋体" w:hAnsi="宋体" w:cs="宋体" w:hint="eastAsia"/>
          <w:lang w:eastAsia="zh-CN"/>
        </w:rPr>
        <w:t>绪论</w:t>
      </w:r>
      <w:r>
        <w:t xml:space="preserve">- 1.1 </w:t>
      </w:r>
      <w:r>
        <w:rPr>
          <w:rFonts w:ascii="宋体" w:eastAsia="宋体" w:hAnsi="宋体" w:cs="宋体" w:hint="eastAsia"/>
          <w:lang w:eastAsia="zh-CN"/>
        </w:rPr>
        <w:t>选题背景</w:t>
      </w:r>
      <w:r>
        <w:t xml:space="preserve">- 1.2 </w:t>
      </w:r>
      <w:r>
        <w:rPr>
          <w:rFonts w:ascii="宋体" w:eastAsia="宋体" w:hAnsi="宋体" w:cs="宋体" w:hint="eastAsia"/>
          <w:lang w:eastAsia="zh-CN"/>
        </w:rPr>
        <w:t>研究意义</w:t>
      </w:r>
      <w:r>
        <w:t xml:space="preserve">- 1.3 </w:t>
      </w:r>
      <w:r>
        <w:rPr>
          <w:rFonts w:ascii="宋体" w:eastAsia="宋体" w:hAnsi="宋体" w:cs="宋体" w:hint="eastAsia"/>
          <w:lang w:eastAsia="zh-CN"/>
        </w:rPr>
        <w:t>文献综述与研究缺口</w:t>
      </w:r>
    </w:p>
    <w:p>
      <w:pPr>
        <w:pStyle w:val="ListNumber"/>
        <w:numPr>
          <w:ilvl w:val="0"/>
          <w:numId w:val="10"/>
        </w:numPr>
      </w:pPr>
      <w:r>
        <w:rPr>
          <w:rFonts w:ascii="宋体" w:eastAsia="宋体" w:hAnsi="宋体" w:cs="宋体" w:hint="eastAsia"/>
          <w:lang w:eastAsia="zh-CN"/>
        </w:rPr>
        <w:t>研究设计与方法</w:t>
      </w:r>
      <w:r>
        <w:t xml:space="preserve">- 2.1 </w:t>
      </w:r>
      <w:r>
        <w:rPr>
          <w:rFonts w:ascii="宋体" w:eastAsia="宋体" w:hAnsi="宋体" w:cs="宋体" w:hint="eastAsia"/>
          <w:lang w:eastAsia="zh-CN"/>
        </w:rPr>
        <w:t>数据来源与样本</w:t>
      </w:r>
      <w:r>
        <w:t xml:space="preserve">- 2.2 </w:t>
      </w:r>
      <w:r>
        <w:rPr>
          <w:rFonts w:ascii="宋体" w:eastAsia="宋体" w:hAnsi="宋体" w:cs="宋体" w:hint="eastAsia"/>
          <w:lang w:eastAsia="zh-CN"/>
        </w:rPr>
        <w:t>五步测度流水线</w:t>
      </w:r>
      <w:r>
        <w:t xml:space="preserve">- 2.3 </w:t>
      </w:r>
      <w:r>
        <w:rPr>
          <w:rFonts w:ascii="宋体" w:eastAsia="宋体" w:hAnsi="宋体" w:cs="宋体" w:hint="eastAsia"/>
          <w:lang w:eastAsia="zh-CN"/>
        </w:rPr>
        <w:t>测量指标与变量定义</w:t>
      </w:r>
    </w:p>
    <w:p>
      <w:pPr>
        <w:pStyle w:val="ListNumber"/>
        <w:numPr>
          <w:ilvl w:val="0"/>
          <w:numId w:val="10"/>
        </w:numPr>
      </w:pPr>
      <w:r>
        <w:rPr>
          <w:rFonts w:ascii="宋体" w:eastAsia="宋体" w:hAnsi="宋体" w:cs="宋体" w:hint="eastAsia"/>
          <w:lang w:eastAsia="zh-CN"/>
        </w:rPr>
        <w:t>测度结果与实证分析</w:t>
      </w:r>
      <w:r>
        <w:t xml:space="preserve">- 3.1 </w:t>
      </w:r>
      <w:r>
        <w:rPr>
          <w:rFonts w:ascii="宋体" w:eastAsia="宋体" w:hAnsi="宋体" w:cs="宋体" w:hint="eastAsia"/>
          <w:lang w:eastAsia="zh-CN"/>
        </w:rPr>
        <w:t>描述统计</w:t>
      </w:r>
      <w:r>
        <w:t xml:space="preserve">- 3.2 </w:t>
      </w:r>
      <w:r>
        <w:rPr>
          <w:rFonts w:ascii="宋体" w:eastAsia="宋体" w:hAnsi="宋体" w:cs="宋体" w:hint="eastAsia"/>
          <w:lang w:eastAsia="zh-CN"/>
        </w:rPr>
        <w:t>信度检验</w:t>
      </w:r>
      <w:r>
        <w:t xml:space="preserve">- 3.3 </w:t>
      </w:r>
      <w:r>
        <w:rPr>
          <w:rFonts w:ascii="宋体" w:eastAsia="宋体" w:hAnsi="宋体" w:cs="宋体" w:hint="eastAsia"/>
          <w:lang w:eastAsia="zh-CN"/>
        </w:rPr>
        <w:t>效度检验</w:t>
      </w:r>
      <w:r>
        <w:t xml:space="preserve">- 3.4 </w:t>
      </w:r>
      <w:r>
        <w:rPr>
          <w:rFonts w:ascii="宋体" w:eastAsia="宋体" w:hAnsi="宋体" w:cs="宋体" w:hint="eastAsia"/>
          <w:lang w:eastAsia="zh-CN"/>
        </w:rPr>
        <w:t>回归分析</w:t>
      </w:r>
    </w:p>
    <w:p>
      <w:pPr>
        <w:pStyle w:val="ListNumber"/>
        <w:numPr>
          <w:ilvl w:val="0"/>
          <w:numId w:val="10"/>
        </w:numPr>
      </w:pPr>
      <w:r>
        <w:rPr>
          <w:rFonts w:ascii="宋体" w:eastAsia="宋体" w:hAnsi="宋体" w:cs="宋体" w:hint="eastAsia"/>
          <w:lang w:eastAsia="zh-CN"/>
        </w:rPr>
        <w:t>结论</w:t>
      </w:r>
      <w:r>
        <w:t xml:space="preserve">- 4.1 </w:t>
      </w:r>
      <w:r>
        <w:rPr>
          <w:rFonts w:ascii="宋体" w:eastAsia="宋体" w:hAnsi="宋体" w:cs="宋体" w:hint="eastAsia"/>
          <w:lang w:eastAsia="zh-CN"/>
        </w:rPr>
        <w:t>主要发现</w:t>
      </w:r>
      <w:r>
        <w:t xml:space="preserve">- 4.2 </w:t>
      </w:r>
      <w:r>
        <w:rPr>
          <w:rFonts w:ascii="宋体" w:eastAsia="宋体" w:hAnsi="宋体" w:cs="宋体" w:hint="eastAsia"/>
          <w:lang w:eastAsia="zh-CN"/>
        </w:rPr>
        <w:t>局限与展望</w:t>
      </w:r>
      <w:r/>
      <w:r>
        <w:rPr>
          <w:rFonts w:ascii="宋体" w:eastAsia="宋体" w:hAnsi="宋体" w:cs="宋体" w:hint="eastAsia"/>
          <w:lang w:eastAsia="zh-CN"/>
        </w:rPr>
        <w:t>参考文献</w:t>
      </w:r>
      <w:r/>
      <w:r>
        <w:rPr>
          <w:rFonts w:ascii="宋体" w:eastAsia="宋体" w:hAnsi="宋体" w:cs="宋体" w:hint="eastAsia"/>
          <w:lang w:eastAsia="zh-CN"/>
        </w:rPr>
        <w:t>附录</w:t>
      </w:r>
      <w:r>
        <w:t xml:space="preserve">A </w:t>
      </w:r>
      <w:r>
        <w:rPr>
          <w:rFonts w:ascii="宋体" w:eastAsia="宋体" w:hAnsi="宋体" w:cs="宋体" w:hint="eastAsia"/>
          <w:lang w:eastAsia="zh-CN"/>
        </w:rPr>
        <w:t>数据来源说明</w:t>
      </w:r>
      <w:r/>
      <w:r>
        <w:rPr>
          <w:rFonts w:ascii="宋体" w:eastAsia="宋体" w:hAnsi="宋体" w:cs="宋体" w:hint="eastAsia"/>
          <w:lang w:eastAsia="zh-CN"/>
        </w:rPr>
        <w:t>附录</w:t>
      </w:r>
      <w:r>
        <w:t xml:space="preserve">B </w:t>
      </w:r>
      <w:r>
        <w:rPr>
          <w:rFonts w:ascii="宋体" w:eastAsia="宋体" w:hAnsi="宋体" w:cs="宋体" w:hint="eastAsia"/>
          <w:lang w:eastAsia="zh-CN"/>
        </w:rPr>
        <w:t>复现说明</w:t>
      </w:r>
      <w:r/>
    </w:p>
    <w:p>
      <w:bookmarkStart w:id="24" w:name="_Toc_1__"/>
      <w:bookmarkStart w:id="2" w:name="1绪论"/>
      <w:pPr>
        <w:pStyle w:val="Heading2"/>
      </w:pPr>
      <w:bookmarkEnd w:id="2"/>
      <w:r>
        <w:rPr>
          <w:rFonts w:ascii="宋体" w:hAnsi="宋体" w:eastAsia="宋体" w:cs="宋体" w:hint="eastAsia"/>
          <w:sz w:val="28"/>
          <w:lang w:eastAsia="zh-CN"/>
        </w:rPr>
        <w:t>1. 绪论</w:t>
      </w:r>
      <w:bookmarkEnd w:id="24"/>
    </w:p>
    <w:p>
      <w:bookmarkStart w:id="25" w:name="_Toc_11____"/>
      <w:bookmarkStart w:id="3" w:name="11选题背景"/>
      <w:pPr>
        <w:pStyle w:val="Heading3"/>
      </w:pPr>
      <w:bookmarkEnd w:id="3"/>
      <w:r>
        <w:rPr>
          <w:rFonts w:ascii="宋体" w:hAnsi="宋体" w:eastAsia="宋体" w:cs="宋体" w:hint="eastAsia"/>
          <w:sz w:val="24"/>
          <w:lang w:eastAsia="zh-CN"/>
        </w:rPr>
        <w:t>1.1 选题背景</w:t>
      </w:r>
      <w:bookmarkEnd w:id="25"/>
    </w:p>
    <w:p>
      <w:pPr>
        <w:ind w:firstLine="480"/>
        <w:jc w:val="both"/>
      </w:pPr>
      <w:r>
        <w:rPr>
          <w:rFonts w:ascii="宋体" w:hAnsi="宋体" w:eastAsia="宋体" w:cs="宋体" w:hint="eastAsia"/>
          <w:lang w:eastAsia="zh-CN"/>
        </w:rPr>
        <w:t>党的二十大报告明确提出</w:t>
      </w:r>
      <w:r>
        <w:rPr>
          <w:rFonts w:ascii="黑体" w:hAnsi="黑体"/>
        </w:rPr>
        <w:t>"</w:t>
      </w:r>
      <w:r>
        <w:rPr>
          <w:rFonts w:ascii="宋体" w:hAnsi="宋体" w:eastAsia="宋体" w:cs="宋体" w:hint="eastAsia"/>
          <w:lang w:eastAsia="zh-CN"/>
        </w:rPr>
        <w:t>加快发展数字经济，促进数字经济和实体经济深度融合</w:t>
      </w:r>
      <w:r>
        <w:rPr>
          <w:rFonts w:ascii="黑体" w:hAnsi="黑体"/>
        </w:rPr>
        <w:t>"</w:t>
      </w:r>
      <w:r>
        <w:rPr>
          <w:rFonts w:ascii="宋体" w:hAnsi="宋体" w:eastAsia="宋体" w:cs="宋体" w:hint="eastAsia"/>
          <w:lang w:eastAsia="zh-CN"/>
        </w:rPr>
        <w:t>。</w:t>
      </w:r>
      <w:r>
        <w:rPr>
          <w:rFonts w:ascii="黑体" w:hAnsi="黑体"/>
        </w:rPr>
        <w:t>"</w:t>
      </w:r>
      <w:r>
        <w:rPr>
          <w:rFonts w:ascii="宋体" w:hAnsi="宋体" w:eastAsia="宋体" w:cs="宋体" w:hint="eastAsia"/>
          <w:lang w:eastAsia="zh-CN"/>
        </w:rPr>
        <w:t>十四五</w:t>
      </w:r>
      <w:r>
        <w:rPr>
          <w:rFonts w:ascii="黑体" w:hAnsi="黑体"/>
        </w:rPr>
        <w:t>"</w:t>
      </w:r>
      <w:r>
        <w:rPr>
          <w:rFonts w:ascii="宋体" w:hAnsi="宋体" w:eastAsia="宋体" w:cs="宋体" w:hint="eastAsia"/>
          <w:lang w:eastAsia="zh-CN"/>
        </w:rPr>
        <w:t>数字经济发展规划进一步要求推动企业加快数字化转型的步伐。在此背景下，微观企业</w:t>
      </w:r>
      <w:r>
        <w:rPr>
          <w:rFonts w:ascii="黑体" w:hAnsi="黑体"/>
        </w:rPr>
        <w:t>"</w:t>
      </w:r>
      <w:r>
        <w:rPr>
          <w:rFonts w:ascii="宋体" w:hAnsi="宋体" w:eastAsia="宋体" w:cs="宋体" w:hint="eastAsia"/>
          <w:lang w:eastAsia="zh-CN"/>
        </w:rPr>
        <w:t>是否转型、转型多快、转往何处</w:t>
      </w:r>
      <w:r>
        <w:rPr>
          <w:rFonts w:ascii="黑体" w:hAnsi="黑体"/>
        </w:rPr>
        <w:t>"</w:t>
      </w:r>
      <w:r>
        <w:rPr>
          <w:rFonts w:ascii="宋体" w:hAnsi="宋体" w:eastAsia="宋体" w:cs="宋体" w:hint="eastAsia"/>
          <w:lang w:eastAsia="zh-CN"/>
        </w:rPr>
        <w:t>成为学术界与政策界共同关注的问题。然而，数字化转型是一个抽象、多维且动态演进的过程，传统的测度手段存在明显局限：以无形资产科目或</w:t>
      </w:r>
      <w:r>
        <w:rPr>
          <w:rFonts w:ascii="黑体" w:hAnsi="黑体"/>
        </w:rPr>
        <w:t>IT</w:t>
      </w:r>
      <w:r>
        <w:rPr>
          <w:rFonts w:ascii="宋体" w:hAnsi="宋体" w:eastAsia="宋体" w:cs="宋体" w:hint="eastAsia"/>
          <w:lang w:eastAsia="zh-CN"/>
        </w:rPr>
        <w:t>投入度量，覆盖面窄且受会计准则影响；以问卷度量，成本高、样本小且存在共同方法偏差。</w:t>
      </w:r>
    </w:p>
    <w:p>
      <w:pPr>
        <w:ind w:firstLine="480"/>
        <w:jc w:val="both"/>
      </w:pPr>
      <w:r>
        <w:rPr>
          <w:rFonts w:ascii="宋体" w:hAnsi="宋体" w:eastAsia="宋体" w:cs="宋体" w:hint="eastAsia"/>
          <w:lang w:eastAsia="zh-CN"/>
        </w:rPr>
        <w:t>年报是上市公司面向资本市场的系统性信息披露文件，其</w:t>
      </w:r>
      <w:r>
        <w:rPr>
          <w:rFonts w:ascii="黑体" w:hAnsi="黑体"/>
        </w:rPr>
        <w:t>"</w:t>
      </w:r>
      <w:r>
        <w:rPr>
          <w:rFonts w:ascii="宋体" w:hAnsi="宋体" w:eastAsia="宋体" w:cs="宋体" w:hint="eastAsia"/>
          <w:lang w:eastAsia="zh-CN"/>
        </w:rPr>
        <w:t>经营讨论与分析</w:t>
      </w:r>
      <w:r>
        <w:rPr>
          <w:rFonts w:ascii="黑体" w:hAnsi="黑体"/>
        </w:rPr>
        <w:t>"</w:t>
      </w:r>
      <w:r>
        <w:rPr>
          <w:rFonts w:ascii="宋体" w:hAnsi="宋体" w:eastAsia="宋体" w:cs="宋体" w:hint="eastAsia"/>
          <w:lang w:eastAsia="zh-CN"/>
        </w:rPr>
        <w:t>（</w:t>
      </w:r>
      <w:r>
        <w:rPr>
          <w:rFonts w:ascii="黑体" w:hAnsi="黑体"/>
        </w:rPr>
        <w:t>Management Discussion &amp; Analysis, MD&amp;A</w:t>
      </w:r>
      <w:r>
        <w:rPr>
          <w:rFonts w:ascii="宋体" w:hAnsi="宋体" w:eastAsia="宋体" w:cs="宋体" w:hint="eastAsia"/>
          <w:lang w:eastAsia="zh-CN"/>
        </w:rPr>
        <w:t>）章节集中反映了管理层对战略方向与技术布局的叙述。企业数字化战略越深入，年报中相关技术词汇的出现密度越高。这为利用文本挖掘技术构造企业层面的数字化转型测度提供了可能。随着中文分词、词典匹配等自然语言处理技术的成熟，基于关键词词频的文本测度因透明、可复现、可大规模自动化而逐渐成为主流方法之一。</w:t>
      </w:r>
    </w:p>
    <w:p>
      <w:bookmarkStart w:id="26" w:name="_Toc_12____"/>
      <w:bookmarkStart w:id="4" w:name="12研究意义"/>
      <w:pPr>
        <w:pStyle w:val="Heading3"/>
      </w:pPr>
      <w:bookmarkEnd w:id="4"/>
      <w:r>
        <w:rPr>
          <w:rFonts w:ascii="宋体" w:hAnsi="宋体" w:eastAsia="宋体" w:cs="宋体" w:hint="eastAsia"/>
          <w:sz w:val="24"/>
          <w:lang w:eastAsia="zh-CN"/>
        </w:rPr>
        <w:t>1.2 研究意义</w:t>
      </w:r>
      <w:bookmarkEnd w:id="26"/>
    </w:p>
    <w:p>
      <w:pPr>
        <w:ind w:firstLine="480"/>
        <w:jc w:val="both"/>
      </w:pPr>
      <w:r>
        <w:rPr>
          <w:rFonts w:ascii="宋体" w:hAnsi="宋体" w:eastAsia="宋体" w:cs="宋体" w:hint="eastAsia"/>
          <w:lang w:eastAsia="zh-CN"/>
        </w:rPr>
        <w:t>理论意义方面：第一，本文将课堂所学的</w:t>
      </w:r>
      <w:r>
        <w:rPr>
          <w:rFonts w:ascii="黑体" w:hAnsi="黑体"/>
        </w:rPr>
        <w:t>NLP</w:t>
      </w:r>
      <w:r>
        <w:rPr>
          <w:rFonts w:ascii="宋体" w:hAnsi="宋体" w:eastAsia="宋体" w:cs="宋体" w:hint="eastAsia"/>
          <w:lang w:eastAsia="zh-CN"/>
        </w:rPr>
        <w:t>测度构建五步流水线完整应用于一个真实的研究议题，展示了</w:t>
      </w:r>
      <w:r>
        <w:rPr>
          <w:rFonts w:ascii="黑体" w:hAnsi="黑体"/>
        </w:rPr>
        <w:t>"</w:t>
      </w:r>
      <w:r>
        <w:rPr>
          <w:rFonts w:ascii="宋体" w:hAnsi="宋体" w:eastAsia="宋体" w:cs="宋体" w:hint="eastAsia"/>
          <w:lang w:eastAsia="zh-CN"/>
        </w:rPr>
        <w:t>从非结构化文本到结构化面板数据</w:t>
      </w:r>
      <w:r>
        <w:rPr>
          <w:rFonts w:ascii="黑体" w:hAnsi="黑体"/>
        </w:rPr>
        <w:t>"</w:t>
      </w:r>
      <w:r>
        <w:rPr>
          <w:rFonts w:ascii="宋体" w:hAnsi="宋体" w:eastAsia="宋体" w:cs="宋体" w:hint="eastAsia"/>
          <w:lang w:eastAsia="zh-CN"/>
        </w:rPr>
        <w:t>的规范化路径，为文本测度的信度效度检验提供了一套可操作的评估框架；第二，本文从人工智能、区块链、云计算、大数据、数字技术应用五个维度刻画数字化转型，可以进一步</w:t>
      </w:r>
      <w:r>
        <w:rPr>
          <w:rFonts w:ascii="黑体" w:hAnsi="黑体"/>
        </w:rPr>
        <w:t xml:space="preserve"> decompose </w:t>
      </w:r>
      <w:r>
        <w:rPr>
          <w:rFonts w:ascii="宋体" w:hAnsi="宋体" w:eastAsia="宋体" w:cs="宋体" w:hint="eastAsia"/>
          <w:lang w:eastAsia="zh-CN"/>
        </w:rPr>
        <w:t>数字化的</w:t>
      </w:r>
      <w:r>
        <w:rPr>
          <w:rFonts w:ascii="黑体" w:hAnsi="黑体"/>
        </w:rPr>
        <w:t>"</w:t>
      </w:r>
      <w:r>
        <w:rPr>
          <w:rFonts w:ascii="宋体" w:hAnsi="宋体" w:eastAsia="宋体" w:cs="宋体" w:hint="eastAsia"/>
          <w:lang w:eastAsia="zh-CN"/>
        </w:rPr>
        <w:t>技术结构</w:t>
      </w:r>
      <w:r>
        <w:rPr>
          <w:rFonts w:ascii="黑体" w:hAnsi="黑体"/>
        </w:rPr>
        <w:t>"</w:t>
      </w:r>
      <w:r>
        <w:rPr>
          <w:rFonts w:ascii="宋体" w:hAnsi="宋体" w:eastAsia="宋体" w:cs="宋体" w:hint="eastAsia"/>
          <w:lang w:eastAsia="zh-CN"/>
        </w:rPr>
        <w:t>，丰富了对转型内涵的刻画维度。</w:t>
      </w:r>
    </w:p>
    <w:p>
      <w:pPr>
        <w:ind w:firstLine="480"/>
        <w:jc w:val="both"/>
      </w:pPr>
      <w:r>
        <w:rPr>
          <w:rFonts w:ascii="宋体" w:hAnsi="宋体" w:eastAsia="宋体" w:cs="宋体" w:hint="eastAsia"/>
          <w:lang w:eastAsia="zh-CN"/>
        </w:rPr>
        <w:t>现实意义方面：一个可靠的企业数字化转型测度，是后续考察数字化对生产率、资本市场表现、劳动力结构等问题因果效应的前提。本文输出的企业</w:t>
      </w:r>
      <w:r>
        <w:rPr>
          <w:rFonts w:ascii="黑体" w:hAnsi="黑体"/>
        </w:rPr>
        <w:t>—</w:t>
      </w:r>
      <w:r>
        <w:rPr>
          <w:rFonts w:ascii="宋体" w:hAnsi="宋体" w:eastAsia="宋体" w:cs="宋体" w:hint="eastAsia"/>
          <w:lang w:eastAsia="zh-CN"/>
        </w:rPr>
        <w:t>年份面板数据及全部代码、词典均开源，研究者可以直接替换语料加以复用，降低后续研究的重复建设成本；对监管部门而言，该测度也可用于动态监测上市公司数字化披露质量。</w:t>
      </w:r>
    </w:p>
    <w:p>
      <w:bookmarkStart w:id="27" w:name="_Toc_13_________"/>
      <w:bookmarkStart w:id="5" w:name="13文献综述与研究缺口"/>
      <w:pPr>
        <w:pStyle w:val="Heading3"/>
      </w:pPr>
      <w:bookmarkEnd w:id="5"/>
      <w:r>
        <w:rPr>
          <w:rFonts w:ascii="宋体" w:hAnsi="宋体" w:eastAsia="宋体" w:cs="宋体" w:hint="eastAsia"/>
          <w:sz w:val="24"/>
          <w:lang w:eastAsia="zh-CN"/>
        </w:rPr>
        <w:t>1.3 文献综述与研究缺口</w:t>
      </w:r>
      <w:bookmarkEnd w:id="27"/>
    </w:p>
    <w:p>
      <w:pPr>
        <w:ind w:firstLine="480"/>
        <w:jc w:val="both"/>
      </w:pPr>
      <w:r>
        <w:rPr>
          <w:rFonts w:ascii="宋体" w:hAnsi="宋体" w:eastAsia="宋体" w:cs="宋体" w:hint="eastAsia"/>
          <w:lang w:eastAsia="zh-CN"/>
        </w:rPr>
        <w:t>文本分析在经济学与管理学研究中的应用近年快速增长。在测度方法上，现有文献大体形成三类路径：一是词典法，即依据领域词典进行关键词匹配与词频统计，代表如吴非等（</w:t>
      </w:r>
      <w:r>
        <w:rPr>
          <w:rFonts w:ascii="黑体" w:hAnsi="黑体"/>
        </w:rPr>
        <w:t>2021</w:t>
      </w:r>
      <w:r>
        <w:rPr>
          <w:rFonts w:ascii="宋体" w:hAnsi="宋体" w:eastAsia="宋体" w:cs="宋体" w:hint="eastAsia"/>
          <w:lang w:eastAsia="zh-CN"/>
        </w:rPr>
        <w:t>）基于年报构建的数字化转型词典，该方法透明度高、易于复现；二是机器学习法，如利用</w:t>
      </w:r>
      <w:r>
        <w:rPr>
          <w:rFonts w:ascii="黑体" w:hAnsi="黑体"/>
        </w:rPr>
        <w:t>LDA</w:t>
      </w:r>
      <w:r>
        <w:rPr>
          <w:rFonts w:ascii="宋体" w:hAnsi="宋体" w:eastAsia="宋体" w:cs="宋体" w:hint="eastAsia"/>
          <w:lang w:eastAsia="zh-CN"/>
        </w:rPr>
        <w:t>主题模型或词嵌入技术挖掘文本主题，能发现词典未覆盖的新词，但结果解释性与稳定性较弱；三是深度语义法，如以预训练语言模型对文本嵌入聚类，语义刻画能力强，但计算成本高且可复现门槛高。</w:t>
      </w:r>
    </w:p>
    <w:p>
      <w:pPr>
        <w:ind w:firstLine="480"/>
        <w:jc w:val="both"/>
      </w:pPr>
      <w:r>
        <w:rPr>
          <w:rFonts w:ascii="宋体" w:hAnsi="宋体" w:eastAsia="宋体" w:cs="宋体" w:hint="eastAsia"/>
          <w:lang w:eastAsia="zh-CN"/>
        </w:rPr>
        <w:t>在研究对象上，已有研究多将数字化转型作为解释变量，考察其对股票流动性（吴非等，</w:t>
      </w:r>
      <w:r>
        <w:rPr>
          <w:rFonts w:ascii="黑体" w:hAnsi="黑体"/>
        </w:rPr>
        <w:t>2021</w:t>
      </w:r>
      <w:r>
        <w:rPr>
          <w:rFonts w:ascii="宋体" w:hAnsi="宋体" w:eastAsia="宋体" w:cs="宋体" w:hint="eastAsia"/>
          <w:lang w:eastAsia="zh-CN"/>
        </w:rPr>
        <w:t>）、企业业绩、创新产出的影响，而对</w:t>
      </w:r>
      <w:r>
        <w:rPr>
          <w:rFonts w:ascii="宋体" w:hAnsi="宋体" w:eastAsia="宋体" w:cs="宋体" w:hint="eastAsia"/>
          <w:b/>
          <w:lang w:eastAsia="zh-CN"/>
        </w:rPr>
        <w:t>测度本身的质量评估</w:t>
      </w:r>
      <w:r>
        <w:rPr>
          <w:rFonts w:ascii="宋体" w:hAnsi="宋体" w:eastAsia="宋体" w:cs="宋体" w:hint="eastAsia"/>
          <w:lang w:eastAsia="zh-CN"/>
        </w:rPr>
        <w:t>往往着墨不足：多数文献直接报告词频加</w:t>
      </w:r>
      <w:r>
        <w:rPr>
          <w:rFonts w:ascii="黑体" w:hAnsi="黑体"/>
        </w:rPr>
        <w:t>1</w:t>
      </w:r>
      <w:r>
        <w:rPr>
          <w:rFonts w:ascii="宋体" w:hAnsi="宋体" w:eastAsia="宋体" w:cs="宋体" w:hint="eastAsia"/>
          <w:lang w:eastAsia="zh-CN"/>
        </w:rPr>
        <w:t>取对数的结果，缺乏对测度内部一致性信度的系统报告，效度检验也常止步于与单一变量的相关分析。</w:t>
      </w:r>
    </w:p>
    <w:p>
      <w:pPr>
        <w:ind w:firstLine="480"/>
        <w:jc w:val="both"/>
      </w:pPr>
      <w:r>
        <w:rPr>
          <w:rFonts w:ascii="宋体" w:hAnsi="宋体" w:eastAsia="宋体" w:cs="宋体" w:hint="eastAsia"/>
          <w:lang w:eastAsia="zh-CN"/>
        </w:rPr>
        <w:t>研究缺口（</w:t>
      </w:r>
      <w:r>
        <w:rPr>
          <w:rFonts w:ascii="黑体" w:hAnsi="黑体"/>
        </w:rPr>
        <w:t>Gap</w:t>
      </w:r>
      <w:r>
        <w:rPr>
          <w:rFonts w:ascii="宋体" w:hAnsi="宋体" w:eastAsia="宋体" w:cs="宋体" w:hint="eastAsia"/>
          <w:lang w:eastAsia="zh-CN"/>
        </w:rPr>
        <w:t>）：现有文献在以下三点上存在改进空间。其一，信度报告不完整</w:t>
      </w:r>
      <w:r>
        <w:rPr>
          <w:rFonts w:ascii="黑体" w:hAnsi="黑体"/>
        </w:rPr>
        <w:t>——</w:t>
      </w:r>
      <w:r>
        <w:rPr>
          <w:rFonts w:ascii="宋体" w:hAnsi="宋体" w:eastAsia="宋体" w:cs="宋体" w:hint="eastAsia"/>
          <w:lang w:eastAsia="zh-CN"/>
        </w:rPr>
        <w:t>基于多维词典合成的测度鲜有文献报告</w:t>
      </w:r>
      <w:r>
        <w:rPr>
          <w:rFonts w:ascii="黑体" w:hAnsi="黑体"/>
        </w:rPr>
        <w:t>Cronbach's α</w:t>
      </w:r>
      <w:r>
        <w:rPr>
          <w:rFonts w:ascii="宋体" w:hAnsi="宋体" w:eastAsia="宋体" w:cs="宋体" w:hint="eastAsia"/>
          <w:lang w:eastAsia="zh-CN"/>
        </w:rPr>
        <w:t>或折半信度；其二，效度证据单薄</w:t>
      </w:r>
      <w:r>
        <w:rPr>
          <w:rFonts w:ascii="黑体" w:hAnsi="黑体"/>
        </w:rPr>
        <w:t>——</w:t>
      </w:r>
      <w:r>
        <w:rPr>
          <w:rFonts w:ascii="宋体" w:hAnsi="宋体" w:eastAsia="宋体" w:cs="宋体" w:hint="eastAsia"/>
          <w:lang w:eastAsia="zh-CN"/>
        </w:rPr>
        <w:t>缺乏</w:t>
      </w:r>
      <w:r>
        <w:rPr>
          <w:rFonts w:ascii="黑体" w:hAnsi="黑体"/>
        </w:rPr>
        <w:t>"</w:t>
      </w:r>
      <w:r>
        <w:rPr>
          <w:rFonts w:ascii="宋体" w:hAnsi="宋体" w:eastAsia="宋体" w:cs="宋体" w:hint="eastAsia"/>
          <w:lang w:eastAsia="zh-CN"/>
        </w:rPr>
        <w:t>同时效度</w:t>
      </w:r>
      <w:r>
        <w:rPr>
          <w:rFonts w:ascii="黑体" w:hAnsi="黑体"/>
        </w:rPr>
        <w:t>+</w:t>
      </w:r>
      <w:r>
        <w:rPr>
          <w:rFonts w:ascii="宋体" w:hAnsi="宋体" w:eastAsia="宋体" w:cs="宋体" w:hint="eastAsia"/>
          <w:lang w:eastAsia="zh-CN"/>
        </w:rPr>
        <w:t>已知组效度</w:t>
      </w:r>
      <w:r>
        <w:rPr>
          <w:rFonts w:ascii="黑体" w:hAnsi="黑体"/>
        </w:rPr>
        <w:t>"</w:t>
      </w:r>
      <w:r>
        <w:rPr>
          <w:rFonts w:ascii="宋体" w:hAnsi="宋体" w:eastAsia="宋体" w:cs="宋体" w:hint="eastAsia"/>
          <w:lang w:eastAsia="zh-CN"/>
        </w:rPr>
        <w:t>的组合检验；其三，流程可复现性差</w:t>
      </w:r>
      <w:r>
        <w:rPr>
          <w:rFonts w:ascii="黑体" w:hAnsi="黑体"/>
        </w:rPr>
        <w:t>——</w:t>
      </w:r>
      <w:r>
        <w:rPr>
          <w:rFonts w:ascii="宋体" w:hAnsi="宋体" w:eastAsia="宋体" w:cs="宋体" w:hint="eastAsia"/>
          <w:lang w:eastAsia="zh-CN"/>
        </w:rPr>
        <w:t>数据清洗、分词、匹配的关键参数披露不足，第三方难以复现。本文针对性地弥补上述缺口：完整报告五步流水线的每一步参数，系统开展信度与效度检验，并开源全部代码与词典。</w:t>
      </w:r>
    </w:p>
    <w:p>
      <w:bookmarkStart w:id="28" w:name="_Toc_14_________"/>
      <w:bookmarkStart w:id="6" w:name="14研究内容与论文结构"/>
      <w:pPr>
        <w:pStyle w:val="Heading3"/>
      </w:pPr>
      <w:bookmarkEnd w:id="6"/>
      <w:r>
        <w:rPr>
          <w:rFonts w:ascii="宋体" w:hAnsi="宋体" w:eastAsia="宋体" w:cs="宋体" w:hint="eastAsia"/>
          <w:sz w:val="24"/>
          <w:lang w:eastAsia="zh-CN"/>
        </w:rPr>
        <w:t>1.4 研究内容与论文结构</w:t>
      </w:r>
      <w:bookmarkEnd w:id="28"/>
    </w:p>
    <w:p>
      <w:pPr>
        <w:ind w:firstLine="480"/>
        <w:jc w:val="both"/>
      </w:pPr>
      <w:r>
        <w:rPr>
          <w:rFonts w:ascii="宋体" w:hAnsi="宋体" w:eastAsia="宋体" w:cs="宋体" w:hint="eastAsia"/>
          <w:lang w:eastAsia="zh-CN"/>
        </w:rPr>
        <w:t>围绕上述缺口，本文的研究内容包括四个部分。第一部分为绪论，界定研究问题、阐明研究意义并系统梳理文献以定位研究缺口；第二部分为研究设计与方法，交代语料来源、五步测度流水线的技术细节、词典构成与变量定义，确保每一环节可复现；第三部分为测度结果与实证分析，依次报告描述统计、信度检验、效度检验与回归分析四类证据，评估测度的测量学质量并考察其与经济变量的关联模式；第四部分为结论，总结主要发现、诚实呈现局限并展望后续研究方向。</w:t>
      </w:r>
    </w:p>
    <w:p>
      <w:pPr>
        <w:ind w:firstLine="480"/>
        <w:jc w:val="both"/>
      </w:pPr>
      <w:r>
        <w:rPr>
          <w:rFonts w:ascii="宋体" w:hAnsi="宋体" w:eastAsia="宋体" w:cs="宋体" w:hint="eastAsia"/>
          <w:lang w:eastAsia="zh-CN"/>
        </w:rPr>
        <w:t>论文的逻辑主线是：先</w:t>
      </w:r>
      <w:r>
        <w:rPr>
          <w:rFonts w:ascii="黑体" w:hAnsi="黑体"/>
        </w:rPr>
        <w:t>"</w:t>
      </w:r>
      <w:r>
        <w:rPr>
          <w:rFonts w:ascii="宋体" w:hAnsi="宋体" w:eastAsia="宋体" w:cs="宋体" w:hint="eastAsia"/>
          <w:lang w:eastAsia="zh-CN"/>
        </w:rPr>
        <w:t>造尺子</w:t>
      </w:r>
      <w:r>
        <w:rPr>
          <w:rFonts w:ascii="黑体" w:hAnsi="黑体"/>
        </w:rPr>
        <w:t>"</w:t>
      </w:r>
      <w:r>
        <w:rPr>
          <w:rFonts w:ascii="宋体" w:hAnsi="宋体" w:eastAsia="宋体" w:cs="宋体" w:hint="eastAsia"/>
          <w:lang w:eastAsia="zh-CN"/>
        </w:rPr>
        <w:t>（构建测度），再</w:t>
      </w:r>
      <w:r>
        <w:rPr>
          <w:rFonts w:ascii="黑体" w:hAnsi="黑体"/>
        </w:rPr>
        <w:t>"</w:t>
      </w:r>
      <w:r>
        <w:rPr>
          <w:rFonts w:ascii="宋体" w:hAnsi="宋体" w:eastAsia="宋体" w:cs="宋体" w:hint="eastAsia"/>
          <w:lang w:eastAsia="zh-CN"/>
        </w:rPr>
        <w:t>验尺子</w:t>
      </w:r>
      <w:r>
        <w:rPr>
          <w:rFonts w:ascii="黑体" w:hAnsi="黑体"/>
        </w:rPr>
        <w:t>"</w:t>
      </w:r>
      <w:r>
        <w:rPr>
          <w:rFonts w:ascii="宋体" w:hAnsi="宋体" w:eastAsia="宋体" w:cs="宋体" w:hint="eastAsia"/>
          <w:lang w:eastAsia="zh-CN"/>
        </w:rPr>
        <w:t>（信度效度检验），最后</w:t>
      </w:r>
      <w:r>
        <w:rPr>
          <w:rFonts w:ascii="黑体" w:hAnsi="黑体"/>
        </w:rPr>
        <w:t>"</w:t>
      </w:r>
      <w:r>
        <w:rPr>
          <w:rFonts w:ascii="宋体" w:hAnsi="宋体" w:eastAsia="宋体" w:cs="宋体" w:hint="eastAsia"/>
          <w:lang w:eastAsia="zh-CN"/>
        </w:rPr>
        <w:t>用尺子</w:t>
      </w:r>
      <w:r>
        <w:rPr>
          <w:rFonts w:ascii="黑体" w:hAnsi="黑体"/>
        </w:rPr>
        <w:t>"</w:t>
      </w:r>
      <w:r>
        <w:rPr>
          <w:rFonts w:ascii="宋体" w:hAnsi="宋体" w:eastAsia="宋体" w:cs="宋体" w:hint="eastAsia"/>
          <w:lang w:eastAsia="zh-CN"/>
        </w:rPr>
        <w:t>（回归分析中的经验模式）。这一主线也呼应了课堂强调的原则</w:t>
      </w:r>
      <w:r>
        <w:rPr>
          <w:rFonts w:ascii="黑体" w:hAnsi="黑体"/>
        </w:rPr>
        <w:t>——</w:t>
      </w:r>
      <w:r>
        <w:rPr>
          <w:rFonts w:ascii="宋体" w:hAnsi="宋体" w:eastAsia="宋体" w:cs="宋体" w:hint="eastAsia"/>
          <w:lang w:eastAsia="zh-CN"/>
        </w:rPr>
        <w:t>文本测度研究的贡献不仅要体现在</w:t>
      </w:r>
      <w:r>
        <w:rPr>
          <w:rFonts w:ascii="黑体" w:hAnsi="黑体"/>
        </w:rPr>
        <w:t>"</w:t>
      </w:r>
      <w:r>
        <w:rPr>
          <w:rFonts w:ascii="宋体" w:hAnsi="宋体" w:eastAsia="宋体" w:cs="宋体" w:hint="eastAsia"/>
          <w:lang w:eastAsia="zh-CN"/>
        </w:rPr>
        <w:t>测了出来</w:t>
      </w:r>
      <w:r>
        <w:rPr>
          <w:rFonts w:ascii="黑体" w:hAnsi="黑体"/>
        </w:rPr>
        <w:t>"</w:t>
      </w:r>
      <w:r>
        <w:rPr>
          <w:rFonts w:ascii="宋体" w:hAnsi="宋体" w:eastAsia="宋体" w:cs="宋体" w:hint="eastAsia"/>
          <w:lang w:eastAsia="zh-CN"/>
        </w:rPr>
        <w:t>，更要体现在</w:t>
      </w:r>
      <w:r>
        <w:rPr>
          <w:rFonts w:ascii="黑体" w:hAnsi="黑体"/>
        </w:rPr>
        <w:t>"</w:t>
      </w:r>
      <w:r>
        <w:rPr>
          <w:rFonts w:ascii="宋体" w:hAnsi="宋体" w:eastAsia="宋体" w:cs="宋体" w:hint="eastAsia"/>
          <w:lang w:eastAsia="zh-CN"/>
        </w:rPr>
        <w:t>测得可信</w:t>
      </w:r>
      <w:r>
        <w:rPr>
          <w:rFonts w:ascii="黑体" w:hAnsi="黑体"/>
        </w:rPr>
        <w:t>"</w:t>
      </w:r>
      <w:r>
        <w:rPr>
          <w:rFonts w:ascii="宋体" w:hAnsi="宋体" w:eastAsia="宋体" w:cs="宋体" w:hint="eastAsia"/>
          <w:lang w:eastAsia="zh-CN"/>
        </w:rPr>
        <w:t>。</w:t>
      </w:r>
      <w:r/>
    </w:p>
    <w:p>
      <w:bookmarkStart w:id="29" w:name="_Toc_2_______"/>
      <w:bookmarkStart w:id="7" w:name="2研究设计与方法"/>
      <w:pPr>
        <w:pStyle w:val="Heading2"/>
      </w:pPr>
      <w:bookmarkEnd w:id="7"/>
      <w:r>
        <w:rPr>
          <w:rFonts w:ascii="宋体" w:hAnsi="宋体" w:eastAsia="宋体" w:cs="宋体" w:hint="eastAsia"/>
          <w:sz w:val="28"/>
          <w:lang w:eastAsia="zh-CN"/>
        </w:rPr>
        <w:t>2. 研究设计与方法</w:t>
      </w:r>
      <w:bookmarkEnd w:id="29"/>
    </w:p>
    <w:p>
      <w:bookmarkStart w:id="30" w:name="_Toc_21_______"/>
      <w:bookmarkStart w:id="8" w:name="21数据来源与样本"/>
      <w:pPr>
        <w:pStyle w:val="Heading3"/>
      </w:pPr>
      <w:bookmarkEnd w:id="8"/>
      <w:r>
        <w:rPr>
          <w:rFonts w:ascii="宋体" w:hAnsi="宋体" w:eastAsia="宋体" w:cs="宋体" w:hint="eastAsia"/>
          <w:sz w:val="24"/>
          <w:lang w:eastAsia="zh-CN"/>
        </w:rPr>
        <w:t>2.1 数据来源与样本</w:t>
      </w:r>
      <w:bookmarkEnd w:id="30"/>
    </w:p>
    <w:p>
      <w:pPr>
        <w:ind w:firstLine="480"/>
        <w:jc w:val="both"/>
      </w:pPr>
      <w:r>
        <w:rPr>
          <w:rFonts w:ascii="宋体" w:hAnsi="宋体" w:eastAsia="宋体" w:cs="宋体" w:hint="eastAsia"/>
          <w:lang w:eastAsia="zh-CN"/>
        </w:rPr>
        <w:t>本文的测度对象为上市公司年报</w:t>
      </w:r>
      <w:r>
        <w:rPr>
          <w:rFonts w:ascii="黑体" w:hAnsi="黑体"/>
        </w:rPr>
        <w:t>"</w:t>
      </w:r>
      <w:r>
        <w:rPr>
          <w:rFonts w:ascii="宋体" w:hAnsi="宋体" w:eastAsia="宋体" w:cs="宋体" w:hint="eastAsia"/>
          <w:lang w:eastAsia="zh-CN"/>
        </w:rPr>
        <w:t>经营讨论与分析</w:t>
      </w:r>
      <w:r>
        <w:rPr>
          <w:rFonts w:ascii="黑体" w:hAnsi="黑体"/>
        </w:rPr>
        <w:t>"</w:t>
      </w:r>
      <w:r>
        <w:rPr>
          <w:rFonts w:ascii="宋体" w:hAnsi="宋体" w:eastAsia="宋体" w:cs="宋体" w:hint="eastAsia"/>
          <w:lang w:eastAsia="zh-CN"/>
        </w:rPr>
        <w:t>章节文本。在真实研究场景下，语料从巨潮资讯网（</w:t>
      </w:r>
      <w:r>
        <w:rPr>
          <w:rFonts w:ascii="黑体" w:hAnsi="黑体"/>
        </w:rPr>
        <w:t>www.cninfo.com.cn</w:t>
      </w:r>
      <w:r>
        <w:rPr>
          <w:rFonts w:ascii="宋体" w:hAnsi="宋体" w:eastAsia="宋体" w:cs="宋体" w:hint="eastAsia"/>
          <w:lang w:eastAsia="zh-CN"/>
        </w:rPr>
        <w:t>）批量下载年报</w:t>
      </w:r>
      <w:r>
        <w:rPr>
          <w:rFonts w:ascii="黑体" w:hAnsi="黑体"/>
        </w:rPr>
        <w:t>PDF</w:t>
      </w:r>
      <w:r>
        <w:rPr>
          <w:rFonts w:ascii="宋体" w:hAnsi="宋体" w:eastAsia="宋体" w:cs="宋体" w:hint="eastAsia"/>
          <w:lang w:eastAsia="zh-CN"/>
        </w:rPr>
        <w:t>后，使用</w:t>
      </w:r>
      <w:r>
        <w:rPr>
          <w:rFonts w:ascii="黑体" w:hAnsi="黑体"/>
        </w:rPr>
        <w:t>pdfplumber</w:t>
      </w:r>
      <w:r>
        <w:rPr>
          <w:rFonts w:ascii="宋体" w:hAnsi="宋体" w:eastAsia="宋体" w:cs="宋体" w:hint="eastAsia"/>
          <w:lang w:eastAsia="zh-CN"/>
        </w:rPr>
        <w:t>解析为纯文本，并按章节标题截取</w:t>
      </w:r>
      <w:r>
        <w:rPr>
          <w:rFonts w:ascii="黑体" w:hAnsi="黑体"/>
        </w:rPr>
        <w:t>MD&amp;A</w:t>
      </w:r>
      <w:r>
        <w:rPr>
          <w:rFonts w:ascii="宋体" w:hAnsi="宋体" w:eastAsia="宋体" w:cs="宋体" w:hint="eastAsia"/>
          <w:lang w:eastAsia="zh-CN"/>
        </w:rPr>
        <w:t>部分；财务协变量（企业规模、资产负债率、总资产收益率、研发强度）来自上市公司年报财务报表附注。</w:t>
      </w:r>
    </w:p>
    <w:p>
      <w:pPr>
        <w:ind w:firstLine="480"/>
        <w:jc w:val="both"/>
      </w:pPr>
      <w:r>
        <w:rPr>
          <w:rFonts w:ascii="宋体" w:hAnsi="宋体" w:eastAsia="宋体" w:cs="宋体" w:hint="eastAsia"/>
          <w:lang w:eastAsia="zh-CN"/>
        </w:rPr>
        <w:t>为保证论文结果完全可复现、便于评审查验每一步的中间产物，本文在预演阶段使用程序生成的模拟语料（</w:t>
      </w:r>
      <w:r>
        <w:rPr>
          <w:rFonts w:ascii="黑体" w:hAnsi="黑体"/>
        </w:rPr>
        <w:t>simulate_corpus.py</w:t>
      </w:r>
      <w:r>
        <w:rPr>
          <w:rFonts w:ascii="宋体" w:hAnsi="宋体" w:eastAsia="宋体" w:cs="宋体" w:hint="eastAsia"/>
          <w:lang w:eastAsia="zh-CN"/>
        </w:rPr>
        <w:t>）：模拟</w:t>
      </w:r>
      <w:r>
        <w:rPr>
          <w:rFonts w:ascii="黑体" w:hAnsi="黑体"/>
        </w:rPr>
        <w:t>60</w:t>
      </w:r>
      <w:r>
        <w:rPr>
          <w:rFonts w:ascii="宋体" w:hAnsi="宋体" w:eastAsia="宋体" w:cs="宋体" w:hint="eastAsia"/>
          <w:lang w:eastAsia="zh-CN"/>
        </w:rPr>
        <w:t>家</w:t>
      </w:r>
      <w:r>
        <w:rPr>
          <w:rFonts w:ascii="黑体" w:hAnsi="黑体"/>
        </w:rPr>
        <w:t>A</w:t>
      </w:r>
      <w:r>
        <w:rPr>
          <w:rFonts w:ascii="宋体" w:hAnsi="宋体" w:eastAsia="宋体" w:cs="宋体" w:hint="eastAsia"/>
          <w:lang w:eastAsia="zh-CN"/>
        </w:rPr>
        <w:t>股上市公司、覆盖制造业、信息技术业、批发零售业、金融业、房地产业、电力热力业六个行业，样本期为</w:t>
      </w:r>
      <w:r>
        <w:rPr>
          <w:rFonts w:ascii="黑体" w:hAnsi="黑体"/>
        </w:rPr>
        <w:t>2019—2023</w:t>
      </w:r>
      <w:r>
        <w:rPr>
          <w:rFonts w:ascii="宋体" w:hAnsi="宋体" w:eastAsia="宋体" w:cs="宋体" w:hint="eastAsia"/>
          <w:lang w:eastAsia="zh-CN"/>
        </w:rPr>
        <w:t>年，共</w:t>
      </w:r>
      <w:r>
        <w:rPr>
          <w:rFonts w:ascii="黑体" w:hAnsi="黑体"/>
        </w:rPr>
        <w:t>300</w:t>
      </w:r>
      <w:r>
        <w:rPr>
          <w:rFonts w:ascii="宋体" w:hAnsi="宋体" w:eastAsia="宋体" w:cs="宋体" w:hint="eastAsia"/>
          <w:lang w:eastAsia="zh-CN"/>
        </w:rPr>
        <w:t>个企业</w:t>
      </w:r>
      <w:r>
        <w:rPr>
          <w:rFonts w:ascii="黑体" w:hAnsi="黑体"/>
        </w:rPr>
        <w:t>—</w:t>
      </w:r>
      <w:r>
        <w:rPr>
          <w:rFonts w:ascii="宋体" w:hAnsi="宋体" w:eastAsia="宋体" w:cs="宋体" w:hint="eastAsia"/>
          <w:lang w:eastAsia="zh-CN"/>
        </w:rPr>
        <w:t>年度观测。语料生成逻辑内置了</w:t>
      </w:r>
      <w:r>
        <w:rPr>
          <w:rFonts w:ascii="黑体" w:hAnsi="黑体"/>
        </w:rPr>
        <w:t>"</w:t>
      </w:r>
      <w:r>
        <w:rPr>
          <w:rFonts w:ascii="宋体" w:hAnsi="宋体" w:eastAsia="宋体" w:cs="宋体" w:hint="eastAsia"/>
          <w:lang w:eastAsia="zh-CN"/>
        </w:rPr>
        <w:t>数字化叙述密度随企业研发强度、企业规模及时间趋势变化</w:t>
      </w:r>
      <w:r>
        <w:rPr>
          <w:rFonts w:ascii="黑体" w:hAnsi="黑体"/>
        </w:rPr>
        <w:t>"</w:t>
      </w:r>
      <w:r>
        <w:rPr>
          <w:rFonts w:ascii="宋体" w:hAnsi="宋体" w:eastAsia="宋体" w:cs="宋体" w:hint="eastAsia"/>
          <w:lang w:eastAsia="zh-CN"/>
        </w:rPr>
        <w:t>的结构，使文本测度与经济变量之间保有真实研究中应有的统计关联；该设定仅用于方法演示，不构成任何经验结论。全部文件来源与处理步骤详见仓库《数据来源说明》。</w:t>
      </w:r>
    </w:p>
    <w:p>
      <w:bookmarkStart w:id="31" w:name="_Toc_22_______"/>
      <w:bookmarkStart w:id="9" w:name="22五步测度流水线"/>
      <w:pPr>
        <w:pStyle w:val="Heading3"/>
      </w:pPr>
      <w:bookmarkEnd w:id="9"/>
      <w:r>
        <w:rPr>
          <w:rFonts w:ascii="宋体" w:hAnsi="宋体" w:eastAsia="宋体" w:cs="宋体" w:hint="eastAsia"/>
          <w:sz w:val="24"/>
          <w:lang w:eastAsia="zh-CN"/>
        </w:rPr>
        <w:t>2.2 五步测度流水线</w:t>
      </w:r>
      <w:bookmarkEnd w:id="31"/>
    </w:p>
    <w:p>
      <w:pPr>
        <w:ind w:firstLine="480"/>
        <w:jc w:val="both"/>
      </w:pPr>
      <w:r>
        <w:rPr>
          <w:rFonts w:ascii="宋体" w:hAnsi="宋体" w:eastAsia="宋体" w:cs="宋体" w:hint="eastAsia"/>
          <w:lang w:eastAsia="zh-CN"/>
        </w:rPr>
        <w:t>本文严格遵循课堂讲授的五步水流（流水线）方法，每一步均有独立脚本与中间输出，任何一步均可单独复检。</w:t>
      </w:r>
    </w:p>
    <w:p>
      <w:pPr>
        <w:ind w:firstLine="480"/>
        <w:jc w:val="both"/>
      </w:pPr>
      <w:r>
        <w:rPr>
          <w:rFonts w:ascii="宋体" w:hAnsi="宋体" w:eastAsia="宋体" w:cs="宋体" w:hint="eastAsia"/>
          <w:b/>
          <w:lang w:eastAsia="zh-CN"/>
        </w:rPr>
        <w:t>第一步：数据获取（step1_load_corpus）。</w:t>
      </w:r>
      <w:r>
        <w:rPr>
          <w:rFonts w:ascii="黑体" w:hAnsi="黑体"/>
        </w:rPr>
        <w:t xml:space="preserve"> </w:t>
      </w:r>
      <w:r>
        <w:rPr>
          <w:rFonts w:ascii="宋体" w:hAnsi="宋体" w:eastAsia="宋体" w:cs="宋体" w:hint="eastAsia"/>
          <w:lang w:eastAsia="zh-CN"/>
        </w:rPr>
        <w:t>批量读取语料目录下的年报文本文件，按</w:t>
      </w:r>
      <w:r>
        <w:rPr>
          <w:rFonts w:ascii="黑体" w:hAnsi="黑体"/>
        </w:rPr>
        <w:t>"</w:t>
      </w:r>
      <w:r>
        <w:rPr>
          <w:rFonts w:ascii="宋体" w:hAnsi="宋体" w:eastAsia="宋体" w:cs="宋体" w:hint="eastAsia"/>
          <w:lang w:eastAsia="zh-CN"/>
        </w:rPr>
        <w:t>公司代码</w:t>
      </w:r>
      <w:r>
        <w:rPr>
          <w:rFonts w:ascii="黑体" w:hAnsi="黑体"/>
        </w:rPr>
        <w:t>_</w:t>
      </w:r>
      <w:r>
        <w:rPr>
          <w:rFonts w:ascii="宋体" w:hAnsi="宋体" w:eastAsia="宋体" w:cs="宋体" w:hint="eastAsia"/>
          <w:lang w:eastAsia="zh-CN"/>
        </w:rPr>
        <w:t>年份</w:t>
      </w:r>
      <w:r>
        <w:rPr>
          <w:rFonts w:ascii="黑体" w:hAnsi="黑体"/>
        </w:rPr>
        <w:t>"</w:t>
      </w:r>
      <w:r>
        <w:rPr>
          <w:rFonts w:ascii="宋体" w:hAnsi="宋体" w:eastAsia="宋体" w:cs="宋体" w:hint="eastAsia"/>
          <w:lang w:eastAsia="zh-CN"/>
        </w:rPr>
        <w:t>命名规则解析出企业标识与报告年度，形成语料清单。真实场景中该步骤对应</w:t>
      </w:r>
      <w:r>
        <w:rPr>
          <w:rFonts w:ascii="黑体" w:hAnsi="黑体"/>
        </w:rPr>
        <w:t>"</w:t>
      </w:r>
      <w:r>
        <w:rPr>
          <w:rFonts w:ascii="宋体" w:hAnsi="宋体" w:eastAsia="宋体" w:cs="宋体" w:hint="eastAsia"/>
          <w:lang w:eastAsia="zh-CN"/>
        </w:rPr>
        <w:t>巨潮资讯网爬取</w:t>
      </w:r>
      <w:r>
        <w:rPr>
          <w:rFonts w:ascii="黑体" w:hAnsi="黑体"/>
        </w:rPr>
        <w:t>+PDF</w:t>
      </w:r>
      <w:r>
        <w:rPr>
          <w:rFonts w:ascii="宋体" w:hAnsi="宋体" w:eastAsia="宋体" w:cs="宋体" w:hint="eastAsia"/>
          <w:lang w:eastAsia="zh-CN"/>
        </w:rPr>
        <w:t>解析</w:t>
      </w:r>
      <w:r>
        <w:rPr>
          <w:rFonts w:ascii="黑体" w:hAnsi="黑体"/>
        </w:rPr>
        <w:t>"</w:t>
      </w:r>
      <w:r>
        <w:rPr>
          <w:rFonts w:ascii="宋体" w:hAnsi="宋体" w:eastAsia="宋体" w:cs="宋体" w:hint="eastAsia"/>
          <w:lang w:eastAsia="zh-CN"/>
        </w:rPr>
        <w:t>；本文用模拟语料替代，接口完全一致，后续步骤无需任何修改。</w:t>
      </w:r>
    </w:p>
    <w:p>
      <w:pPr>
        <w:ind w:firstLine="480"/>
        <w:jc w:val="both"/>
      </w:pPr>
      <w:r>
        <w:rPr>
          <w:rFonts w:ascii="宋体" w:hAnsi="宋体" w:eastAsia="宋体" w:cs="宋体" w:hint="eastAsia"/>
          <w:b/>
          <w:lang w:eastAsia="zh-CN"/>
        </w:rPr>
        <w:t>第二步：文本预处理（step2_preprocess）。</w:t>
      </w:r>
      <w:r>
        <w:rPr>
          <w:rFonts w:ascii="黑体" w:hAnsi="黑体"/>
        </w:rPr>
        <w:t xml:space="preserve"> </w:t>
      </w:r>
      <w:r>
        <w:rPr>
          <w:rFonts w:ascii="宋体" w:hAnsi="宋体" w:eastAsia="宋体" w:cs="宋体" w:hint="eastAsia"/>
          <w:lang w:eastAsia="zh-CN"/>
        </w:rPr>
        <w:t>依次执行：剔除</w:t>
      </w:r>
      <w:r>
        <w:rPr>
          <w:rFonts w:ascii="黑体" w:hAnsi="黑体"/>
        </w:rPr>
        <w:t>HTML</w:t>
      </w:r>
      <w:r>
        <w:rPr>
          <w:rFonts w:ascii="宋体" w:hAnsi="宋体" w:eastAsia="宋体" w:cs="宋体" w:hint="eastAsia"/>
          <w:lang w:eastAsia="zh-CN"/>
        </w:rPr>
        <w:t>标签与网页残留符号；统一全角</w:t>
      </w:r>
      <w:r>
        <w:rPr>
          <w:rFonts w:ascii="黑体" w:hAnsi="黑体"/>
        </w:rPr>
        <w:t>/</w:t>
      </w:r>
      <w:r>
        <w:rPr>
          <w:rFonts w:ascii="宋体" w:hAnsi="宋体" w:eastAsia="宋体" w:cs="宋体" w:hint="eastAsia"/>
          <w:lang w:eastAsia="zh-CN"/>
        </w:rPr>
        <w:t>半角括号；用正则表达式去除非中英文、非数字的特殊字符与空白符；构建中文停用词表去除</w:t>
      </w:r>
      <w:r>
        <w:rPr>
          <w:rFonts w:ascii="黑体" w:hAnsi="黑体"/>
        </w:rPr>
        <w:t>"</w:t>
      </w:r>
      <w:r>
        <w:rPr>
          <w:rFonts w:ascii="宋体" w:hAnsi="宋体" w:eastAsia="宋体" w:cs="宋体" w:hint="eastAsia"/>
          <w:lang w:eastAsia="zh-CN"/>
        </w:rPr>
        <w:t>的、了、和</w:t>
      </w:r>
      <w:r>
        <w:rPr>
          <w:rFonts w:ascii="黑体" w:hAnsi="黑体"/>
        </w:rPr>
        <w:t>"</w:t>
      </w:r>
      <w:r>
        <w:rPr>
          <w:rFonts w:ascii="宋体" w:hAnsi="宋体" w:eastAsia="宋体" w:cs="宋体" w:hint="eastAsia"/>
          <w:lang w:eastAsia="zh-CN"/>
        </w:rPr>
        <w:t>等功能词以及</w:t>
      </w:r>
      <w:r>
        <w:rPr>
          <w:rFonts w:ascii="黑体" w:hAnsi="黑体"/>
        </w:rPr>
        <w:t>"</w:t>
      </w:r>
      <w:r>
        <w:rPr>
          <w:rFonts w:ascii="宋体" w:hAnsi="宋体" w:eastAsia="宋体" w:cs="宋体" w:hint="eastAsia"/>
          <w:lang w:eastAsia="zh-CN"/>
        </w:rPr>
        <w:t>公司、报告、年度</w:t>
      </w:r>
      <w:r>
        <w:rPr>
          <w:rFonts w:ascii="黑体" w:hAnsi="黑体"/>
        </w:rPr>
        <w:t>"</w:t>
      </w:r>
      <w:r>
        <w:rPr>
          <w:rFonts w:ascii="宋体" w:hAnsi="宋体" w:eastAsia="宋体" w:cs="宋体" w:hint="eastAsia"/>
          <w:lang w:eastAsia="zh-CN"/>
        </w:rPr>
        <w:t>等在所有年报中高频出现但对测度无区分度的通用词。预处理后文本平均长度约</w:t>
      </w:r>
      <w:r>
        <w:rPr>
          <w:rFonts w:ascii="黑体" w:hAnsi="黑体"/>
        </w:rPr>
        <w:t>1705</w:t>
      </w:r>
      <w:r>
        <w:rPr>
          <w:rFonts w:ascii="宋体" w:hAnsi="宋体" w:eastAsia="宋体" w:cs="宋体" w:hint="eastAsia"/>
          <w:lang w:eastAsia="zh-CN"/>
        </w:rPr>
        <w:t>字符。</w:t>
      </w:r>
    </w:p>
    <w:p>
      <w:pPr>
        <w:ind w:firstLine="480"/>
        <w:jc w:val="both"/>
      </w:pPr>
      <w:r>
        <w:rPr>
          <w:rFonts w:ascii="宋体" w:hAnsi="宋体" w:eastAsia="宋体" w:cs="宋体" w:hint="eastAsia"/>
          <w:b/>
          <w:lang w:eastAsia="zh-CN"/>
        </w:rPr>
        <w:t>第三步：中文分词（step3_tokenize）。</w:t>
      </w:r>
      <w:r>
        <w:rPr>
          <w:rFonts w:ascii="黑体" w:hAnsi="黑体"/>
        </w:rPr>
        <w:t xml:space="preserve"> </w:t>
      </w:r>
      <w:r>
        <w:rPr>
          <w:rFonts w:ascii="宋体" w:hAnsi="宋体" w:eastAsia="宋体" w:cs="宋体" w:hint="eastAsia"/>
          <w:lang w:eastAsia="zh-CN"/>
        </w:rPr>
        <w:t>采用</w:t>
      </w:r>
      <w:r>
        <w:rPr>
          <w:rFonts w:ascii="黑体" w:hAnsi="黑体"/>
        </w:rPr>
        <w:t>jieba</w:t>
      </w:r>
      <w:r>
        <w:rPr>
          <w:rFonts w:ascii="宋体" w:hAnsi="宋体" w:eastAsia="宋体" w:cs="宋体" w:hint="eastAsia"/>
          <w:lang w:eastAsia="zh-CN"/>
        </w:rPr>
        <w:t>分词器的精确模式。关键参数处理是：将词典中全部数字化术语（如</w:t>
      </w:r>
      <w:r>
        <w:rPr>
          <w:rFonts w:ascii="黑体" w:hAnsi="黑体"/>
        </w:rPr>
        <w:t>"</w:t>
      </w:r>
      <w:r>
        <w:rPr>
          <w:rFonts w:ascii="宋体" w:hAnsi="宋体" w:eastAsia="宋体" w:cs="宋体" w:hint="eastAsia"/>
          <w:lang w:eastAsia="zh-CN"/>
        </w:rPr>
        <w:t>工业互联网</w:t>
      </w:r>
      <w:r>
        <w:rPr>
          <w:rFonts w:ascii="黑体" w:hAnsi="黑体"/>
        </w:rPr>
        <w:t>""</w:t>
      </w:r>
      <w:r>
        <w:rPr>
          <w:rFonts w:ascii="宋体" w:hAnsi="宋体" w:eastAsia="宋体" w:cs="宋体" w:hint="eastAsia"/>
          <w:lang w:eastAsia="zh-CN"/>
        </w:rPr>
        <w:t>分布式账本</w:t>
      </w:r>
      <w:r>
        <w:rPr>
          <w:rFonts w:ascii="黑体" w:hAnsi="黑体"/>
        </w:rPr>
        <w:t>"</w:t>
      </w:r>
      <w:r>
        <w:rPr>
          <w:rFonts w:ascii="宋体" w:hAnsi="宋体" w:eastAsia="宋体" w:cs="宋体" w:hint="eastAsia"/>
          <w:lang w:eastAsia="zh-CN"/>
        </w:rPr>
        <w:t>）以高词频方式加入</w:t>
      </w:r>
      <w:r>
        <w:rPr>
          <w:rFonts w:ascii="黑体" w:hAnsi="黑体"/>
        </w:rPr>
        <w:t>jieba</w:t>
      </w:r>
      <w:r>
        <w:rPr>
          <w:rFonts w:ascii="宋体" w:hAnsi="宋体" w:eastAsia="宋体" w:cs="宋体" w:hint="eastAsia"/>
          <w:lang w:eastAsia="zh-CN"/>
        </w:rPr>
        <w:t>自定义词表，确保多字术语不被误切分为碎片，这是词典法测度准确性的关键细节。分词后平均每份文本约</w:t>
      </w:r>
      <w:r>
        <w:rPr>
          <w:rFonts w:ascii="黑体" w:hAnsi="黑体"/>
        </w:rPr>
        <w:t>742</w:t>
      </w:r>
      <w:r>
        <w:rPr>
          <w:rFonts w:ascii="宋体" w:hAnsi="宋体" w:eastAsia="宋体" w:cs="宋体" w:hint="eastAsia"/>
          <w:lang w:eastAsia="zh-CN"/>
        </w:rPr>
        <w:t>个词。</w:t>
      </w:r>
    </w:p>
    <w:p>
      <w:pPr>
        <w:ind w:firstLine="480"/>
        <w:jc w:val="both"/>
      </w:pPr>
      <w:r>
        <w:rPr>
          <w:rFonts w:ascii="宋体" w:hAnsi="宋体" w:eastAsia="宋体" w:cs="宋体" w:hint="eastAsia"/>
          <w:b/>
          <w:lang w:eastAsia="zh-CN"/>
        </w:rPr>
        <w:t>第四步：词典匹配与词频统计（step4_match）。</w:t>
      </w:r>
      <w:r>
        <w:rPr>
          <w:rFonts w:ascii="黑体" w:hAnsi="黑体"/>
        </w:rPr>
        <w:t xml:space="preserve"> </w:t>
      </w:r>
      <w:r>
        <w:rPr>
          <w:rFonts w:ascii="宋体" w:hAnsi="宋体" w:eastAsia="宋体" w:cs="宋体" w:hint="eastAsia"/>
          <w:lang w:eastAsia="zh-CN"/>
        </w:rPr>
        <w:t>采用吴非等（</w:t>
      </w:r>
      <w:r>
        <w:rPr>
          <w:rFonts w:ascii="黑体" w:hAnsi="黑体"/>
        </w:rPr>
        <w:t>2021</w:t>
      </w:r>
      <w:r>
        <w:rPr>
          <w:rFonts w:ascii="宋体" w:hAnsi="宋体" w:eastAsia="宋体" w:cs="宋体" w:hint="eastAsia"/>
          <w:lang w:eastAsia="zh-CN"/>
        </w:rPr>
        <w:t>）的五维词典并做少量扩充，共</w:t>
      </w:r>
      <w:r>
        <w:rPr>
          <w:rFonts w:ascii="黑体" w:hAnsi="黑体"/>
        </w:rPr>
        <w:t>79</w:t>
      </w:r>
      <w:r>
        <w:rPr>
          <w:rFonts w:ascii="宋体" w:hAnsi="宋体" w:eastAsia="宋体" w:cs="宋体" w:hint="eastAsia"/>
          <w:lang w:eastAsia="zh-CN"/>
        </w:rPr>
        <w:t>个关键词：人工智能技术（</w:t>
      </w:r>
      <w:r>
        <w:rPr>
          <w:rFonts w:ascii="黑体" w:hAnsi="黑体"/>
        </w:rPr>
        <w:t>18</w:t>
      </w:r>
      <w:r>
        <w:rPr>
          <w:rFonts w:ascii="宋体" w:hAnsi="宋体" w:eastAsia="宋体" w:cs="宋体" w:hint="eastAsia"/>
          <w:lang w:eastAsia="zh-CN"/>
        </w:rPr>
        <w:t>个，如</w:t>
      </w:r>
      <w:r>
        <w:rPr>
          <w:rFonts w:ascii="黑体" w:hAnsi="黑体"/>
        </w:rPr>
        <w:t>"</w:t>
      </w:r>
      <w:r>
        <w:rPr>
          <w:rFonts w:ascii="宋体" w:hAnsi="宋体" w:eastAsia="宋体" w:cs="宋体" w:hint="eastAsia"/>
          <w:lang w:eastAsia="zh-CN"/>
        </w:rPr>
        <w:t>机器学习</w:t>
      </w:r>
      <w:r>
        <w:rPr>
          <w:rFonts w:ascii="黑体" w:hAnsi="黑体"/>
        </w:rPr>
        <w:t>""</w:t>
      </w:r>
      <w:r>
        <w:rPr>
          <w:rFonts w:ascii="宋体" w:hAnsi="宋体" w:eastAsia="宋体" w:cs="宋体" w:hint="eastAsia"/>
          <w:lang w:eastAsia="zh-CN"/>
        </w:rPr>
        <w:t>自然语言处理</w:t>
      </w:r>
      <w:r>
        <w:rPr>
          <w:rFonts w:ascii="黑体" w:hAnsi="黑体"/>
        </w:rPr>
        <w:t>"</w:t>
      </w:r>
      <w:r>
        <w:rPr>
          <w:rFonts w:ascii="宋体" w:hAnsi="宋体" w:eastAsia="宋体" w:cs="宋体" w:hint="eastAsia"/>
          <w:lang w:eastAsia="zh-CN"/>
        </w:rPr>
        <w:t>）、区块链技术（</w:t>
      </w:r>
      <w:r>
        <w:rPr>
          <w:rFonts w:ascii="黑体" w:hAnsi="黑体"/>
        </w:rPr>
        <w:t>8</w:t>
      </w:r>
      <w:r>
        <w:rPr>
          <w:rFonts w:ascii="宋体" w:hAnsi="宋体" w:eastAsia="宋体" w:cs="宋体" w:hint="eastAsia"/>
          <w:lang w:eastAsia="zh-CN"/>
        </w:rPr>
        <w:t>个，如</w:t>
      </w:r>
      <w:r>
        <w:rPr>
          <w:rFonts w:ascii="黑体" w:hAnsi="黑体"/>
        </w:rPr>
        <w:t>"</w:t>
      </w:r>
      <w:r>
        <w:rPr>
          <w:rFonts w:ascii="宋体" w:hAnsi="宋体" w:eastAsia="宋体" w:cs="宋体" w:hint="eastAsia"/>
          <w:lang w:eastAsia="zh-CN"/>
        </w:rPr>
        <w:t>智能合约</w:t>
      </w:r>
      <w:r>
        <w:rPr>
          <w:rFonts w:ascii="黑体" w:hAnsi="黑体"/>
        </w:rPr>
        <w:t>""</w:t>
      </w:r>
      <w:r>
        <w:rPr>
          <w:rFonts w:ascii="宋体" w:hAnsi="宋体" w:eastAsia="宋体" w:cs="宋体" w:hint="eastAsia"/>
          <w:lang w:eastAsia="zh-CN"/>
        </w:rPr>
        <w:t>分布式账本</w:t>
      </w:r>
      <w:r>
        <w:rPr>
          <w:rFonts w:ascii="黑体" w:hAnsi="黑体"/>
        </w:rPr>
        <w:t>"</w:t>
      </w:r>
      <w:r>
        <w:rPr>
          <w:rFonts w:ascii="宋体" w:hAnsi="宋体" w:eastAsia="宋体" w:cs="宋体" w:hint="eastAsia"/>
          <w:lang w:eastAsia="zh-CN"/>
        </w:rPr>
        <w:t>）、云计算技术（</w:t>
      </w:r>
      <w:r>
        <w:rPr>
          <w:rFonts w:ascii="黑体" w:hAnsi="黑体"/>
        </w:rPr>
        <w:t>12</w:t>
      </w:r>
      <w:r>
        <w:rPr>
          <w:rFonts w:ascii="宋体" w:hAnsi="宋体" w:eastAsia="宋体" w:cs="宋体" w:hint="eastAsia"/>
          <w:lang w:eastAsia="zh-CN"/>
        </w:rPr>
        <w:t>个，如</w:t>
      </w:r>
      <w:r>
        <w:rPr>
          <w:rFonts w:ascii="黑体" w:hAnsi="黑体"/>
        </w:rPr>
        <w:t>"</w:t>
      </w:r>
      <w:r>
        <w:rPr>
          <w:rFonts w:ascii="宋体" w:hAnsi="宋体" w:eastAsia="宋体" w:cs="宋体" w:hint="eastAsia"/>
          <w:lang w:eastAsia="zh-CN"/>
        </w:rPr>
        <w:t>云平台</w:t>
      </w:r>
      <w:r>
        <w:rPr>
          <w:rFonts w:ascii="黑体" w:hAnsi="黑体"/>
        </w:rPr>
        <w:t>""</w:t>
      </w:r>
      <w:r>
        <w:rPr>
          <w:rFonts w:ascii="宋体" w:hAnsi="宋体" w:eastAsia="宋体" w:cs="宋体" w:hint="eastAsia"/>
          <w:lang w:eastAsia="zh-CN"/>
        </w:rPr>
        <w:t>边缘计算</w:t>
      </w:r>
      <w:r>
        <w:rPr>
          <w:rFonts w:ascii="黑体" w:hAnsi="黑体"/>
        </w:rPr>
        <w:t>"</w:t>
      </w:r>
      <w:r>
        <w:rPr>
          <w:rFonts w:ascii="宋体" w:hAnsi="宋体" w:eastAsia="宋体" w:cs="宋体" w:hint="eastAsia"/>
          <w:lang w:eastAsia="zh-CN"/>
        </w:rPr>
        <w:t>）、大数据技术（</w:t>
      </w:r>
      <w:r>
        <w:rPr>
          <w:rFonts w:ascii="黑体" w:hAnsi="黑体"/>
        </w:rPr>
        <w:t>12</w:t>
      </w:r>
      <w:r>
        <w:rPr>
          <w:rFonts w:ascii="宋体" w:hAnsi="宋体" w:eastAsia="宋体" w:cs="宋体" w:hint="eastAsia"/>
          <w:lang w:eastAsia="zh-CN"/>
        </w:rPr>
        <w:t>个，如</w:t>
      </w:r>
      <w:r>
        <w:rPr>
          <w:rFonts w:ascii="黑体" w:hAnsi="黑体"/>
        </w:rPr>
        <w:t>"</w:t>
      </w:r>
      <w:r>
        <w:rPr>
          <w:rFonts w:ascii="宋体" w:hAnsi="宋体" w:eastAsia="宋体" w:cs="宋体" w:hint="eastAsia"/>
          <w:lang w:eastAsia="zh-CN"/>
        </w:rPr>
        <w:t>数据中台</w:t>
      </w:r>
      <w:r>
        <w:rPr>
          <w:rFonts w:ascii="黑体" w:hAnsi="黑体"/>
        </w:rPr>
        <w:t>""</w:t>
      </w:r>
      <w:r>
        <w:rPr>
          <w:rFonts w:ascii="宋体" w:hAnsi="宋体" w:eastAsia="宋体" w:cs="宋体" w:hint="eastAsia"/>
          <w:lang w:eastAsia="zh-CN"/>
        </w:rPr>
        <w:t>数据挖掘</w:t>
      </w:r>
      <w:r>
        <w:rPr>
          <w:rFonts w:ascii="黑体" w:hAnsi="黑体"/>
        </w:rPr>
        <w:t>"</w:t>
      </w:r>
      <w:r>
        <w:rPr>
          <w:rFonts w:ascii="宋体" w:hAnsi="宋体" w:eastAsia="宋体" w:cs="宋体" w:hint="eastAsia"/>
          <w:lang w:eastAsia="zh-CN"/>
        </w:rPr>
        <w:t>）、数字技术应用（</w:t>
      </w:r>
      <w:r>
        <w:rPr>
          <w:rFonts w:ascii="黑体" w:hAnsi="黑体"/>
        </w:rPr>
        <w:t>29</w:t>
      </w:r>
      <w:r>
        <w:rPr>
          <w:rFonts w:ascii="宋体" w:hAnsi="宋体" w:eastAsia="宋体" w:cs="宋体" w:hint="eastAsia"/>
          <w:lang w:eastAsia="zh-CN"/>
        </w:rPr>
        <w:t>个，如</w:t>
      </w:r>
      <w:r>
        <w:rPr>
          <w:rFonts w:ascii="黑体" w:hAnsi="黑体"/>
        </w:rPr>
        <w:t>"</w:t>
      </w:r>
      <w:r>
        <w:rPr>
          <w:rFonts w:ascii="宋体" w:hAnsi="宋体" w:eastAsia="宋体" w:cs="宋体" w:hint="eastAsia"/>
          <w:lang w:eastAsia="zh-CN"/>
        </w:rPr>
        <w:t>智能制造</w:t>
      </w:r>
      <w:r>
        <w:rPr>
          <w:rFonts w:ascii="黑体" w:hAnsi="黑体"/>
        </w:rPr>
        <w:t>""</w:t>
      </w:r>
      <w:r>
        <w:rPr>
          <w:rFonts w:ascii="宋体" w:hAnsi="宋体" w:eastAsia="宋体" w:cs="宋体" w:hint="eastAsia"/>
          <w:lang w:eastAsia="zh-CN"/>
        </w:rPr>
        <w:t>工业互联网</w:t>
      </w:r>
      <w:r>
        <w:rPr>
          <w:rFonts w:ascii="黑体" w:hAnsi="黑体"/>
        </w:rPr>
        <w:t>""</w:t>
      </w:r>
      <w:r>
        <w:rPr>
          <w:rFonts w:ascii="宋体" w:hAnsi="宋体" w:eastAsia="宋体" w:cs="宋体" w:hint="eastAsia"/>
          <w:lang w:eastAsia="zh-CN"/>
        </w:rPr>
        <w:t>数字孪生</w:t>
      </w:r>
      <w:r>
        <w:rPr>
          <w:rFonts w:ascii="黑体" w:hAnsi="黑体"/>
        </w:rPr>
        <w:t>"</w:t>
      </w:r>
      <w:r>
        <w:rPr>
          <w:rFonts w:ascii="宋体" w:hAnsi="宋体" w:eastAsia="宋体" w:cs="宋体" w:hint="eastAsia"/>
          <w:lang w:eastAsia="zh-CN"/>
        </w:rPr>
        <w:t>）。对每份年报按维度整词匹配计数，得到五维词频及总词频。</w:t>
      </w:r>
    </w:p>
    <w:p>
      <w:pPr>
        <w:ind w:firstLine="480"/>
        <w:jc w:val="both"/>
      </w:pPr>
      <w:r>
        <w:rPr>
          <w:rFonts w:ascii="宋体" w:hAnsi="宋体" w:eastAsia="宋体" w:cs="宋体" w:hint="eastAsia"/>
          <w:b/>
          <w:lang w:eastAsia="zh-CN"/>
        </w:rPr>
        <w:t>第五步：测度计算与面板输出（step5_measure）。</w:t>
      </w:r>
      <w:r>
        <w:rPr>
          <w:rFonts w:ascii="黑体" w:hAnsi="黑体"/>
        </w:rPr>
        <w:t xml:space="preserve"> </w:t>
      </w:r>
      <w:r>
        <w:rPr>
          <w:rFonts w:ascii="宋体" w:hAnsi="宋体" w:eastAsia="宋体" w:cs="宋体" w:hint="eastAsia"/>
          <w:lang w:eastAsia="zh-CN"/>
        </w:rPr>
        <w:t>借鉴主流做法，主测度定义为</w:t>
      </w:r>
      <w:r>
        <w:rPr>
          <w:rFonts w:ascii="黑体" w:hAnsi="黑体"/>
        </w:rPr>
        <w:t xml:space="preserve">DT = ln(1 + </w:t>
      </w:r>
      <w:r>
        <w:rPr>
          <w:rFonts w:ascii="宋体" w:hAnsi="宋体" w:eastAsia="宋体" w:cs="宋体" w:hint="eastAsia"/>
          <w:lang w:eastAsia="zh-CN"/>
        </w:rPr>
        <w:t>数字化关键词总词频</w:t>
      </w:r>
      <w:r>
        <w:rPr>
          <w:rFonts w:ascii="黑体" w:hAnsi="黑体"/>
        </w:rPr>
        <w:t>)</w:t>
      </w:r>
      <w:r>
        <w:rPr>
          <w:rFonts w:ascii="宋体" w:hAnsi="宋体" w:eastAsia="宋体" w:cs="宋体" w:hint="eastAsia"/>
          <w:lang w:eastAsia="zh-CN"/>
        </w:rPr>
        <w:t>，以压缩右偏分布；同时保留总词频计数口径</w:t>
      </w:r>
      <w:r>
        <w:rPr>
          <w:rFonts w:ascii="黑体" w:hAnsi="黑体"/>
        </w:rPr>
        <w:t>DT_kw</w:t>
      </w:r>
      <w:r>
        <w:rPr>
          <w:rFonts w:ascii="宋体" w:hAnsi="宋体" w:eastAsia="宋体" w:cs="宋体" w:hint="eastAsia"/>
          <w:lang w:eastAsia="zh-CN"/>
        </w:rPr>
        <w:t>用于稳健性检验，并计算五维词频占比以刻画数字化技术结构。最终输出企业</w:t>
      </w:r>
      <w:r>
        <w:rPr>
          <w:rFonts w:ascii="黑体" w:hAnsi="黑体"/>
        </w:rPr>
        <w:t>—</w:t>
      </w:r>
      <w:r>
        <w:rPr>
          <w:rFonts w:ascii="宋体" w:hAnsi="宋体" w:eastAsia="宋体" w:cs="宋体" w:hint="eastAsia"/>
          <w:lang w:eastAsia="zh-CN"/>
        </w:rPr>
        <w:t>年份面板数据（</w:t>
      </w:r>
      <w:r>
        <w:rPr>
          <w:rFonts w:ascii="黑体" w:hAnsi="黑体"/>
        </w:rPr>
        <w:t>panel_digital_transformation.csv</w:t>
      </w:r>
      <w:r>
        <w:rPr>
          <w:rFonts w:ascii="宋体" w:hAnsi="宋体" w:eastAsia="宋体" w:cs="宋体" w:hint="eastAsia"/>
          <w:lang w:eastAsia="zh-CN"/>
        </w:rPr>
        <w:t>），含</w:t>
      </w:r>
      <w:r>
        <w:rPr>
          <w:rFonts w:ascii="黑体" w:hAnsi="黑体"/>
        </w:rPr>
        <w:t>300</w:t>
      </w:r>
      <w:r>
        <w:rPr>
          <w:rFonts w:ascii="宋体" w:hAnsi="宋体" w:eastAsia="宋体" w:cs="宋体" w:hint="eastAsia"/>
          <w:lang w:eastAsia="zh-CN"/>
        </w:rPr>
        <w:t>个观测、</w:t>
      </w:r>
      <w:r>
        <w:rPr>
          <w:rFonts w:ascii="黑体" w:hAnsi="黑体"/>
        </w:rPr>
        <w:t>14</w:t>
      </w:r>
      <w:r>
        <w:rPr>
          <w:rFonts w:ascii="宋体" w:hAnsi="宋体" w:eastAsia="宋体" w:cs="宋体" w:hint="eastAsia"/>
          <w:lang w:eastAsia="zh-CN"/>
        </w:rPr>
        <w:t>个字段。</w:t>
      </w:r>
    </w:p>
    <w:p>
      <w:bookmarkStart w:id="32" w:name="_Toc_23_________"/>
      <w:bookmarkStart w:id="10" w:name="23测量指标与变量定义"/>
      <w:pPr>
        <w:pStyle w:val="Heading3"/>
      </w:pPr>
      <w:bookmarkEnd w:id="10"/>
      <w:r>
        <w:rPr>
          <w:rFonts w:ascii="宋体" w:hAnsi="宋体" w:eastAsia="宋体" w:cs="宋体" w:hint="eastAsia"/>
          <w:sz w:val="24"/>
          <w:lang w:eastAsia="zh-CN"/>
        </w:rPr>
        <w:t>2.3 测量指标与变量定义</w:t>
      </w:r>
      <w:bookmarkEnd w:id="32"/>
    </w:p>
    <w:p>
      <w:pPr>
        <w:ind w:firstLine="480"/>
        <w:jc w:val="both"/>
      </w:pPr>
      <w:r>
        <w:rPr>
          <w:rFonts w:ascii="宋体" w:hAnsi="宋体" w:eastAsia="宋体" w:cs="宋体" w:hint="eastAsia"/>
          <w:lang w:eastAsia="zh-CN"/>
        </w:rPr>
        <w:t>被解释变量（测度层）：</w:t>
      </w:r>
      <w:r>
        <w:rPr>
          <w:rFonts w:ascii="黑体" w:hAnsi="黑体"/>
        </w:rPr>
        <w:t>DT</w:t>
      </w:r>
      <w:r>
        <w:rPr>
          <w:rFonts w:ascii="宋体" w:hAnsi="宋体" w:eastAsia="宋体" w:cs="宋体" w:hint="eastAsia"/>
          <w:lang w:eastAsia="zh-CN"/>
        </w:rPr>
        <w:t>，年报数字化关键词总词频加</w:t>
      </w:r>
      <w:r>
        <w:rPr>
          <w:rFonts w:ascii="黑体" w:hAnsi="黑体"/>
        </w:rPr>
        <w:t>1</w:t>
      </w:r>
      <w:r>
        <w:rPr>
          <w:rFonts w:ascii="宋体" w:hAnsi="宋体" w:eastAsia="宋体" w:cs="宋体" w:hint="eastAsia"/>
          <w:lang w:eastAsia="zh-CN"/>
        </w:rPr>
        <w:t>的自然对数；</w:t>
      </w:r>
      <w:r>
        <w:rPr>
          <w:rFonts w:ascii="黑体" w:hAnsi="黑体"/>
        </w:rPr>
        <w:t>DT_kw</w:t>
      </w:r>
      <w:r>
        <w:rPr>
          <w:rFonts w:ascii="宋体" w:hAnsi="宋体" w:eastAsia="宋体" w:cs="宋体" w:hint="eastAsia"/>
          <w:lang w:eastAsia="zh-CN"/>
        </w:rPr>
        <w:t>，总词频计数（稳健性检验用）；</w:t>
      </w:r>
      <w:r>
        <w:rPr>
          <w:rFonts w:ascii="黑体" w:hAnsi="黑体"/>
        </w:rPr>
        <w:t>ratio_</w:t>
      </w:r>
      <w:r>
        <w:rPr>
          <w:rFonts w:ascii="宋体" w:hAnsi="宋体" w:eastAsia="宋体" w:cs="宋体" w:hint="eastAsia"/>
          <w:lang w:eastAsia="zh-CN"/>
        </w:rPr>
        <w:t>维度，各维度词频占总词频比重（技术结构）。</w:t>
      </w:r>
    </w:p>
    <w:p>
      <w:pPr>
        <w:ind w:firstLine="480"/>
        <w:jc w:val="both"/>
      </w:pPr>
      <w:r>
        <w:rPr>
          <w:rFonts w:ascii="宋体" w:hAnsi="宋体" w:eastAsia="宋体" w:cs="宋体" w:hint="eastAsia"/>
          <w:lang w:eastAsia="zh-CN"/>
        </w:rPr>
        <w:t>解释变量（协变量层）：</w:t>
      </w:r>
      <w:r>
        <w:rPr>
          <w:rFonts w:ascii="黑体" w:hAnsi="黑体"/>
        </w:rPr>
        <w:t>Size</w:t>
      </w:r>
      <w:r>
        <w:rPr>
          <w:rFonts w:ascii="宋体" w:hAnsi="宋体" w:eastAsia="宋体" w:cs="宋体" w:hint="eastAsia"/>
          <w:lang w:eastAsia="zh-CN"/>
        </w:rPr>
        <w:t>为企业规模（总资产的自然对数）；</w:t>
      </w:r>
      <w:r>
        <w:rPr>
          <w:rFonts w:ascii="黑体" w:hAnsi="黑体"/>
        </w:rPr>
        <w:t>Lev</w:t>
      </w:r>
      <w:r>
        <w:rPr>
          <w:rFonts w:ascii="宋体" w:hAnsi="宋体" w:eastAsia="宋体" w:cs="宋体" w:hint="eastAsia"/>
          <w:lang w:eastAsia="zh-CN"/>
        </w:rPr>
        <w:t>为资产负债率；</w:t>
      </w:r>
      <w:r>
        <w:rPr>
          <w:rFonts w:ascii="黑体" w:hAnsi="黑体"/>
        </w:rPr>
        <w:t>ROA</w:t>
      </w:r>
      <w:r>
        <w:rPr>
          <w:rFonts w:ascii="宋体" w:hAnsi="宋体" w:eastAsia="宋体" w:cs="宋体" w:hint="eastAsia"/>
          <w:lang w:eastAsia="zh-CN"/>
        </w:rPr>
        <w:t>为总资产收益率；</w:t>
      </w:r>
      <w:r>
        <w:rPr>
          <w:rFonts w:ascii="黑体" w:hAnsi="黑体"/>
        </w:rPr>
        <w:t>RD</w:t>
      </w:r>
      <w:r>
        <w:rPr>
          <w:rFonts w:ascii="宋体" w:hAnsi="宋体" w:eastAsia="宋体" w:cs="宋体" w:hint="eastAsia"/>
          <w:lang w:eastAsia="zh-CN"/>
        </w:rPr>
        <w:t>为研发强度（研发支出</w:t>
      </w:r>
      <w:r>
        <w:rPr>
          <w:rFonts w:ascii="黑体" w:hAnsi="黑体"/>
        </w:rPr>
        <w:t>/</w:t>
      </w:r>
      <w:r>
        <w:rPr>
          <w:rFonts w:ascii="宋体" w:hAnsi="宋体" w:eastAsia="宋体" w:cs="宋体" w:hint="eastAsia"/>
          <w:lang w:eastAsia="zh-CN"/>
        </w:rPr>
        <w:t>营业收入）。控制变量层面加入年份固定效应与行业固定效应虚拟变量（行业按证门类口径分为六类）。变量定义汇总见表</w:t>
      </w:r>
      <w:r>
        <w:rPr>
          <w:rFonts w:ascii="黑体" w:hAnsi="黑体"/>
        </w:rPr>
        <w:t>1</w:t>
      </w:r>
      <w:r>
        <w:rPr>
          <w:rFonts w:ascii="宋体" w:hAnsi="宋体" w:eastAsia="宋体" w:cs="宋体" w:hint="eastAsia"/>
          <w:lang w:eastAsia="zh-CN"/>
        </w:rPr>
        <w:t>。</w:t>
      </w:r>
    </w:p>
    <w:p>
      <w:pPr>
        <w:ind w:firstLine="480"/>
        <w:jc w:val="both"/>
      </w:pPr>
      <w:r>
        <w:rPr>
          <w:rFonts w:ascii="宋体" w:hAnsi="宋体" w:eastAsia="宋体" w:cs="宋体" w:hint="eastAsia"/>
          <w:lang w:eastAsia="zh-CN"/>
        </w:rPr>
        <w:t>表</w:t>
      </w:r>
      <w:r>
        <w:rPr>
          <w:rFonts w:ascii="黑体" w:hAnsi="黑体"/>
        </w:rPr>
        <w:t xml:space="preserve">1 </w:t>
      </w:r>
      <w:r>
        <w:rPr>
          <w:rFonts w:ascii="宋体" w:hAnsi="宋体" w:eastAsia="宋体" w:cs="宋体" w:hint="eastAsia"/>
          <w:lang w:eastAsia="zh-CN"/>
        </w:rPr>
        <w:t>变量定义表</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变量类型</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变量名</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符号</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定义与度量</w:t>
            </w:r>
          </w:p>
        </w:tc>
      </w:tr>
      <w:tr>
        <w:tc>
          <w:tcPr>
            <w:tcW w:type="dxa" w:w="2160"/>
            <w:vAlign w:val="center"/>
            <w:tcMar>
              <w:top w:w="60" w:type="dxa"/>
              <w:bottom w:w="60" w:type="dxa"/>
              <w:left w:w="120" w:type="dxa"/>
              <w:right w:w="120" w:type="dxa"/>
            </w:tcMar>
          </w:tcPr>
          <w:p>
            <w:pPr>
              <w:jc w:val="left"/>
              <w:spacing w:line="240" w:lineRule="auto" w:before="60" w:after="60"/>
            </w:pPr>
            <w:r>
              <w:t>被解释变量</w:t>
            </w:r>
          </w:p>
        </w:tc>
        <w:tc>
          <w:tcPr>
            <w:tcW w:type="dxa" w:w="2160"/>
            <w:vAlign w:val="center"/>
            <w:tcMar>
              <w:top w:w="60" w:type="dxa"/>
              <w:bottom w:w="60" w:type="dxa"/>
              <w:left w:w="120" w:type="dxa"/>
              <w:right w:w="120" w:type="dxa"/>
            </w:tcMar>
          </w:tcPr>
          <w:p>
            <w:pPr>
              <w:jc w:val="center"/>
              <w:spacing w:line="240" w:lineRule="auto" w:before="60" w:after="60"/>
            </w:pPr>
            <w:r>
              <w:t>数字化转型测度</w:t>
            </w:r>
          </w:p>
        </w:tc>
        <w:tc>
          <w:tcPr>
            <w:tcW w:type="dxa" w:w="2160"/>
            <w:vAlign w:val="center"/>
            <w:tcMar>
              <w:top w:w="60" w:type="dxa"/>
              <w:bottom w:w="60" w:type="dxa"/>
              <w:left w:w="120" w:type="dxa"/>
              <w:right w:w="120" w:type="dxa"/>
            </w:tcMar>
          </w:tcPr>
          <w:p>
            <w:pPr>
              <w:jc w:val="center"/>
              <w:spacing w:line="240" w:lineRule="auto" w:before="60" w:after="60"/>
            </w:pPr>
            <w:r>
              <w:t>DT</w:t>
            </w:r>
          </w:p>
        </w:tc>
        <w:tc>
          <w:tcPr>
            <w:tcW w:type="dxa" w:w="2160"/>
            <w:vAlign w:val="center"/>
            <w:tcMar>
              <w:top w:w="60" w:type="dxa"/>
              <w:bottom w:w="60" w:type="dxa"/>
              <w:left w:w="120" w:type="dxa"/>
              <w:right w:w="120" w:type="dxa"/>
            </w:tcMar>
          </w:tcPr>
          <w:p>
            <w:pPr>
              <w:jc w:val="center"/>
              <w:spacing w:line="240" w:lineRule="auto" w:before="60" w:after="60"/>
            </w:pPr>
            <w:r>
              <w:t>ln(1+</w:t>
            </w:r>
            <w:r>
              <w:t xml:space="preserve"> </w:t>
            </w:r>
            <w:r>
              <w:t>五维数字化关键词总词频</w:t>
            </w:r>
            <w:r>
              <w:t xml:space="preserve"> </w:t>
            </w:r>
            <w:r>
              <w:t>)</w:t>
            </w:r>
          </w:p>
        </w:tc>
      </w:tr>
      <w:tr>
        <w:tc>
          <w:tcPr>
            <w:tcW w:type="dxa" w:w="2160"/>
            <w:vAlign w:val="center"/>
            <w:tcMar>
              <w:top w:w="60" w:type="dxa"/>
              <w:bottom w:w="60" w:type="dxa"/>
              <w:left w:w="120" w:type="dxa"/>
              <w:right w:w="120" w:type="dxa"/>
            </w:tcMar>
          </w:tcPr>
          <w:p>
            <w:pPr>
              <w:jc w:val="left"/>
              <w:spacing w:line="240" w:lineRule="auto" w:before="60" w:after="60"/>
            </w:pPr>
            <w:r>
              <w:t>被解释变量</w:t>
            </w:r>
          </w:p>
        </w:tc>
        <w:tc>
          <w:tcPr>
            <w:tcW w:type="dxa" w:w="2160"/>
            <w:vAlign w:val="center"/>
            <w:tcMar>
              <w:top w:w="60" w:type="dxa"/>
              <w:bottom w:w="60" w:type="dxa"/>
              <w:left w:w="120" w:type="dxa"/>
              <w:right w:w="120" w:type="dxa"/>
            </w:tcMar>
          </w:tcPr>
          <w:p>
            <w:pPr>
              <w:jc w:val="center"/>
              <w:spacing w:line="240" w:lineRule="auto" w:before="60" w:after="60"/>
            </w:pPr>
            <w:r>
              <w:t>关键词计数</w:t>
            </w:r>
          </w:p>
        </w:tc>
        <w:tc>
          <w:tcPr>
            <w:tcW w:type="dxa" w:w="2160"/>
            <w:vAlign w:val="center"/>
            <w:tcMar>
              <w:top w:w="60" w:type="dxa"/>
              <w:bottom w:w="60" w:type="dxa"/>
              <w:left w:w="120" w:type="dxa"/>
              <w:right w:w="120" w:type="dxa"/>
            </w:tcMar>
          </w:tcPr>
          <w:p>
            <w:pPr>
              <w:jc w:val="center"/>
              <w:spacing w:line="240" w:lineRule="auto" w:before="60" w:after="60"/>
            </w:pPr>
            <w:r>
              <w:t>DT_kw</w:t>
            </w:r>
          </w:p>
        </w:tc>
        <w:tc>
          <w:tcPr>
            <w:tcW w:type="dxa" w:w="2160"/>
            <w:vAlign w:val="center"/>
            <w:tcMar>
              <w:top w:w="60" w:type="dxa"/>
              <w:bottom w:w="60" w:type="dxa"/>
              <w:left w:w="120" w:type="dxa"/>
              <w:right w:w="120" w:type="dxa"/>
            </w:tcMar>
          </w:tcPr>
          <w:p>
            <w:pPr>
              <w:jc w:val="center"/>
              <w:spacing w:line="240" w:lineRule="auto" w:before="60" w:after="60"/>
            </w:pPr>
            <w:r>
              <w:t>数字化关键词总词频（稳健性）</w:t>
            </w:r>
          </w:p>
        </w:tc>
      </w:tr>
      <w:tr>
        <w:tc>
          <w:tcPr>
            <w:tcW w:type="dxa" w:w="2160"/>
            <w:vAlign w:val="center"/>
            <w:tcMar>
              <w:top w:w="60" w:type="dxa"/>
              <w:bottom w:w="60" w:type="dxa"/>
              <w:left w:w="120" w:type="dxa"/>
              <w:right w:w="120" w:type="dxa"/>
            </w:tcMar>
          </w:tcPr>
          <w:p>
            <w:pPr>
              <w:jc w:val="left"/>
              <w:spacing w:line="240" w:lineRule="auto" w:before="60" w:after="60"/>
            </w:pPr>
            <w:r>
              <w:t>解释变量</w:t>
            </w:r>
          </w:p>
        </w:tc>
        <w:tc>
          <w:tcPr>
            <w:tcW w:type="dxa" w:w="2160"/>
            <w:vAlign w:val="center"/>
            <w:tcMar>
              <w:top w:w="60" w:type="dxa"/>
              <w:bottom w:w="60" w:type="dxa"/>
              <w:left w:w="120" w:type="dxa"/>
              <w:right w:w="120" w:type="dxa"/>
            </w:tcMar>
          </w:tcPr>
          <w:p>
            <w:pPr>
              <w:jc w:val="center"/>
              <w:spacing w:line="240" w:lineRule="auto" w:before="60" w:after="60"/>
            </w:pPr>
            <w:r>
              <w:t>企业规模</w:t>
            </w:r>
          </w:p>
        </w:tc>
        <w:tc>
          <w:tcPr>
            <w:tcW w:type="dxa" w:w="2160"/>
            <w:vAlign w:val="center"/>
            <w:tcMar>
              <w:top w:w="60" w:type="dxa"/>
              <w:bottom w:w="60" w:type="dxa"/>
              <w:left w:w="120" w:type="dxa"/>
              <w:right w:w="120" w:type="dxa"/>
            </w:tcMar>
          </w:tcPr>
          <w:p>
            <w:pPr>
              <w:jc w:val="center"/>
              <w:spacing w:line="240" w:lineRule="auto" w:before="60" w:after="60"/>
            </w:pPr>
            <w:r>
              <w:t>Size</w:t>
            </w:r>
          </w:p>
        </w:tc>
        <w:tc>
          <w:tcPr>
            <w:tcW w:type="dxa" w:w="2160"/>
            <w:vAlign w:val="center"/>
            <w:tcMar>
              <w:top w:w="60" w:type="dxa"/>
              <w:bottom w:w="60" w:type="dxa"/>
              <w:left w:w="120" w:type="dxa"/>
              <w:right w:w="120" w:type="dxa"/>
            </w:tcMar>
          </w:tcPr>
          <w:p>
            <w:pPr>
              <w:jc w:val="center"/>
              <w:spacing w:line="240" w:lineRule="auto" w:before="60" w:after="60"/>
            </w:pPr>
            <w:r>
              <w:t>ln(</w:t>
            </w:r>
            <w:r>
              <w:t xml:space="preserve"> </w:t>
            </w:r>
            <w:r>
              <w:t>总资产</w:t>
            </w:r>
            <w:r>
              <w:t xml:space="preserve"> </w:t>
            </w:r>
            <w:r>
              <w:t>)</w:t>
            </w:r>
          </w:p>
        </w:tc>
      </w:tr>
      <w:tr>
        <w:tc>
          <w:tcPr>
            <w:tcW w:type="dxa" w:w="2160"/>
            <w:vAlign w:val="center"/>
            <w:tcMar>
              <w:top w:w="60" w:type="dxa"/>
              <w:bottom w:w="60" w:type="dxa"/>
              <w:left w:w="120" w:type="dxa"/>
              <w:right w:w="120" w:type="dxa"/>
            </w:tcMar>
          </w:tcPr>
          <w:p>
            <w:pPr>
              <w:jc w:val="left"/>
              <w:spacing w:line="240" w:lineRule="auto" w:before="60" w:after="60"/>
            </w:pPr>
            <w:r>
              <w:t>解释变量</w:t>
            </w:r>
          </w:p>
        </w:tc>
        <w:tc>
          <w:tcPr>
            <w:tcW w:type="dxa" w:w="2160"/>
            <w:vAlign w:val="center"/>
            <w:tcMar>
              <w:top w:w="60" w:type="dxa"/>
              <w:bottom w:w="60" w:type="dxa"/>
              <w:left w:w="120" w:type="dxa"/>
              <w:right w:w="120" w:type="dxa"/>
            </w:tcMar>
          </w:tcPr>
          <w:p>
            <w:pPr>
              <w:jc w:val="center"/>
              <w:spacing w:line="240" w:lineRule="auto" w:before="60" w:after="60"/>
            </w:pPr>
            <w:r>
              <w:t>研发强度</w:t>
            </w:r>
          </w:p>
        </w:tc>
        <w:tc>
          <w:tcPr>
            <w:tcW w:type="dxa" w:w="2160"/>
            <w:vAlign w:val="center"/>
            <w:tcMar>
              <w:top w:w="60" w:type="dxa"/>
              <w:bottom w:w="60" w:type="dxa"/>
              <w:left w:w="120" w:type="dxa"/>
              <w:right w:w="120" w:type="dxa"/>
            </w:tcMar>
          </w:tcPr>
          <w:p>
            <w:pPr>
              <w:jc w:val="center"/>
              <w:spacing w:line="240" w:lineRule="auto" w:before="60" w:after="60"/>
            </w:pPr>
            <w:r>
              <w:t>RD</w:t>
            </w:r>
          </w:p>
        </w:tc>
        <w:tc>
          <w:tcPr>
            <w:tcW w:type="dxa" w:w="2160"/>
            <w:vAlign w:val="center"/>
            <w:tcMar>
              <w:top w:w="60" w:type="dxa"/>
              <w:bottom w:w="60" w:type="dxa"/>
              <w:left w:w="120" w:type="dxa"/>
              <w:right w:w="120" w:type="dxa"/>
            </w:tcMar>
          </w:tcPr>
          <w:p>
            <w:pPr>
              <w:jc w:val="center"/>
              <w:spacing w:line="240" w:lineRule="auto" w:before="60" w:after="60"/>
            </w:pPr>
            <w:r>
              <w:t>研发支出</w:t>
            </w:r>
            <w:r>
              <w:t xml:space="preserve"> </w:t>
            </w:r>
            <w:r>
              <w:t>/</w:t>
            </w:r>
            <w:r>
              <w:t xml:space="preserve"> </w:t>
            </w:r>
            <w:r>
              <w:t>营业收入</w:t>
            </w:r>
          </w:p>
        </w:tc>
      </w:tr>
      <w:tr>
        <w:tc>
          <w:tcPr>
            <w:tcW w:type="dxa" w:w="2160"/>
            <w:vAlign w:val="center"/>
            <w:tcMar>
              <w:top w:w="60" w:type="dxa"/>
              <w:bottom w:w="60" w:type="dxa"/>
              <w:left w:w="120" w:type="dxa"/>
              <w:right w:w="120" w:type="dxa"/>
            </w:tcMar>
          </w:tcPr>
          <w:p>
            <w:pPr>
              <w:jc w:val="left"/>
              <w:spacing w:line="240" w:lineRule="auto" w:before="60" w:after="60"/>
            </w:pPr>
            <w:r>
              <w:t>控制变量</w:t>
            </w:r>
          </w:p>
        </w:tc>
        <w:tc>
          <w:tcPr>
            <w:tcW w:type="dxa" w:w="2160"/>
            <w:vAlign w:val="center"/>
            <w:tcMar>
              <w:top w:w="60" w:type="dxa"/>
              <w:bottom w:w="60" w:type="dxa"/>
              <w:left w:w="120" w:type="dxa"/>
              <w:right w:w="120" w:type="dxa"/>
            </w:tcMar>
          </w:tcPr>
          <w:p>
            <w:pPr>
              <w:jc w:val="center"/>
              <w:spacing w:line="240" w:lineRule="auto" w:before="60" w:after="60"/>
            </w:pPr>
            <w:r>
              <w:t>财务杠杆</w:t>
            </w:r>
          </w:p>
        </w:tc>
        <w:tc>
          <w:tcPr>
            <w:tcW w:type="dxa" w:w="2160"/>
            <w:vAlign w:val="center"/>
            <w:tcMar>
              <w:top w:w="60" w:type="dxa"/>
              <w:bottom w:w="60" w:type="dxa"/>
              <w:left w:w="120" w:type="dxa"/>
              <w:right w:w="120" w:type="dxa"/>
            </w:tcMar>
          </w:tcPr>
          <w:p>
            <w:pPr>
              <w:jc w:val="center"/>
              <w:spacing w:line="240" w:lineRule="auto" w:before="60" w:after="60"/>
            </w:pPr>
            <w:r>
              <w:t>Lev</w:t>
            </w:r>
          </w:p>
        </w:tc>
        <w:tc>
          <w:tcPr>
            <w:tcW w:type="dxa" w:w="2160"/>
            <w:vAlign w:val="center"/>
            <w:tcMar>
              <w:top w:w="60" w:type="dxa"/>
              <w:bottom w:w="60" w:type="dxa"/>
              <w:left w:w="120" w:type="dxa"/>
              <w:right w:w="120" w:type="dxa"/>
            </w:tcMar>
          </w:tcPr>
          <w:p>
            <w:pPr>
              <w:jc w:val="center"/>
              <w:spacing w:line="240" w:lineRule="auto" w:before="60" w:after="60"/>
            </w:pPr>
            <w:r>
              <w:t>总负债</w:t>
            </w:r>
            <w:r>
              <w:t xml:space="preserve"> </w:t>
            </w:r>
            <w:r>
              <w:t>/</w:t>
            </w:r>
            <w:r>
              <w:t xml:space="preserve"> </w:t>
            </w:r>
            <w:r>
              <w:t>总资产</w:t>
            </w:r>
          </w:p>
        </w:tc>
      </w:tr>
      <w:tr>
        <w:tc>
          <w:tcPr>
            <w:tcW w:type="dxa" w:w="2160"/>
            <w:vAlign w:val="center"/>
            <w:tcMar>
              <w:top w:w="60" w:type="dxa"/>
              <w:bottom w:w="60" w:type="dxa"/>
              <w:left w:w="120" w:type="dxa"/>
              <w:right w:w="120" w:type="dxa"/>
            </w:tcMar>
          </w:tcPr>
          <w:p>
            <w:pPr>
              <w:jc w:val="left"/>
              <w:spacing w:line="240" w:lineRule="auto" w:before="60" w:after="60"/>
            </w:pPr>
            <w:r>
              <w:t>控制变量</w:t>
            </w:r>
          </w:p>
        </w:tc>
        <w:tc>
          <w:tcPr>
            <w:tcW w:type="dxa" w:w="2160"/>
            <w:vAlign w:val="center"/>
            <w:tcMar>
              <w:top w:w="60" w:type="dxa"/>
              <w:bottom w:w="60" w:type="dxa"/>
              <w:left w:w="120" w:type="dxa"/>
              <w:right w:w="120" w:type="dxa"/>
            </w:tcMar>
          </w:tcPr>
          <w:p>
            <w:pPr>
              <w:jc w:val="center"/>
              <w:spacing w:line="240" w:lineRule="auto" w:before="60" w:after="60"/>
            </w:pPr>
            <w:r>
              <w:t>盈利能力</w:t>
            </w:r>
          </w:p>
        </w:tc>
        <w:tc>
          <w:tcPr>
            <w:tcW w:type="dxa" w:w="2160"/>
            <w:vAlign w:val="center"/>
            <w:tcMar>
              <w:top w:w="60" w:type="dxa"/>
              <w:bottom w:w="60" w:type="dxa"/>
              <w:left w:w="120" w:type="dxa"/>
              <w:right w:w="120" w:type="dxa"/>
            </w:tcMar>
          </w:tcPr>
          <w:p>
            <w:pPr>
              <w:jc w:val="center"/>
              <w:spacing w:line="240" w:lineRule="auto" w:before="60" w:after="60"/>
            </w:pPr>
            <w:r>
              <w:t>ROA</w:t>
            </w:r>
          </w:p>
        </w:tc>
        <w:tc>
          <w:tcPr>
            <w:tcW w:type="dxa" w:w="2160"/>
            <w:vAlign w:val="center"/>
            <w:tcMar>
              <w:top w:w="60" w:type="dxa"/>
              <w:bottom w:w="60" w:type="dxa"/>
              <w:left w:w="120" w:type="dxa"/>
              <w:right w:w="120" w:type="dxa"/>
            </w:tcMar>
          </w:tcPr>
          <w:p>
            <w:pPr>
              <w:jc w:val="center"/>
              <w:spacing w:line="240" w:lineRule="auto" w:before="60" w:after="60"/>
            </w:pPr>
            <w:r>
              <w:t>净利润</w:t>
            </w:r>
            <w:r>
              <w:t xml:space="preserve"> </w:t>
            </w:r>
            <w:r>
              <w:t>/</w:t>
            </w:r>
            <w:r>
              <w:t xml:space="preserve"> </w:t>
            </w:r>
            <w:r>
              <w:t>总资产</w:t>
            </w:r>
          </w:p>
        </w:tc>
      </w:tr>
      <w:tr>
        <w:tc>
          <w:tcPr>
            <w:tcW w:type="dxa" w:w="2160"/>
            <w:vAlign w:val="center"/>
            <w:tcMar>
              <w:top w:w="60" w:type="dxa"/>
              <w:bottom w:w="60" w:type="dxa"/>
              <w:left w:w="120" w:type="dxa"/>
              <w:right w:w="120" w:type="dxa"/>
            </w:tcMar>
          </w:tcPr>
          <w:p>
            <w:pPr>
              <w:jc w:val="left"/>
              <w:spacing w:line="240" w:lineRule="auto" w:before="60" w:after="60"/>
            </w:pPr>
            <w:r>
              <w:t>固定效应</w:t>
            </w:r>
          </w:p>
        </w:tc>
        <w:tc>
          <w:tcPr>
            <w:tcW w:type="dxa" w:w="2160"/>
            <w:vAlign w:val="center"/>
            <w:tcMar>
              <w:top w:w="60" w:type="dxa"/>
              <w:bottom w:w="60" w:type="dxa"/>
              <w:left w:w="120" w:type="dxa"/>
              <w:right w:w="120" w:type="dxa"/>
            </w:tcMar>
          </w:tcPr>
          <w:p>
            <w:pPr>
              <w:jc w:val="center"/>
              <w:spacing w:line="240" w:lineRule="auto" w:before="60" w:after="60"/>
            </w:pPr>
            <w:r>
              <w:t>年份</w:t>
            </w:r>
          </w:p>
        </w:tc>
        <w:tc>
          <w:tcPr>
            <w:tcW w:type="dxa" w:w="2160"/>
            <w:vAlign w:val="center"/>
            <w:tcMar>
              <w:top w:w="60" w:type="dxa"/>
              <w:bottom w:w="60" w:type="dxa"/>
              <w:left w:w="120" w:type="dxa"/>
              <w:right w:w="120" w:type="dxa"/>
            </w:tcMar>
          </w:tcPr>
          <w:p>
            <w:pPr>
              <w:jc w:val="center"/>
              <w:spacing w:line="240" w:lineRule="auto" w:before="60" w:after="60"/>
            </w:pPr>
            <w:r>
              <w:t>Year</w:t>
            </w:r>
          </w:p>
        </w:tc>
        <w:tc>
          <w:tcPr>
            <w:tcW w:type="dxa" w:w="2160"/>
            <w:vAlign w:val="center"/>
            <w:tcMar>
              <w:top w:w="60" w:type="dxa"/>
              <w:bottom w:w="60" w:type="dxa"/>
              <w:left w:w="120" w:type="dxa"/>
              <w:right w:w="120" w:type="dxa"/>
            </w:tcMar>
          </w:tcPr>
          <w:p>
            <w:pPr>
              <w:jc w:val="center"/>
              <w:spacing w:line="240" w:lineRule="auto" w:before="60" w:after="60"/>
            </w:pPr>
            <w:r>
              <w:t>2019—2023</w:t>
            </w:r>
          </w:p>
        </w:tc>
      </w:tr>
      <w:tr>
        <w:tc>
          <w:tcPr>
            <w:tcW w:type="dxa" w:w="2160"/>
            <w:tcBorders>
              <w:bottom w:val="single" w:sz="12" w:space="0" w:color="333333"/>
            </w:tcBorders>
            <w:vAlign w:val="center"/>
            <w:tcMar>
              <w:top w:w="60" w:type="dxa"/>
              <w:bottom w:w="60" w:type="dxa"/>
              <w:left w:w="120" w:type="dxa"/>
              <w:right w:w="120" w:type="dxa"/>
            </w:tcMar>
          </w:tcPr>
          <w:p>
            <w:pPr>
              <w:jc w:val="left"/>
              <w:spacing w:line="240" w:lineRule="auto" w:before="60" w:after="60"/>
            </w:pPr>
            <w:r>
              <w:t>固定效应</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行业</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Industry</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六个门类行业</w:t>
            </w:r>
          </w:p>
        </w:tc>
      </w:tr>
    </w:tbl>
    <w:p>
      <w:r/>
    </w:p>
    <w:p>
      <w:pPr>
        <w:pBdr>
          <w:bottom w:val="single" w:sz="6" w:space="1" w:color="auto"/>
        </w:pBdr>
      </w:pPr>
      <w:r/>
    </w:p>
    <w:p>
      <w:bookmarkStart w:id="33" w:name="_Toc_3_________"/>
      <w:bookmarkStart w:id="11" w:name="3测度结果与实证分析"/>
      <w:pPr>
        <w:pStyle w:val="Heading2"/>
      </w:pPr>
      <w:bookmarkEnd w:id="11"/>
      <w:r>
        <w:rPr>
          <w:rFonts w:ascii="宋体" w:hAnsi="宋体" w:eastAsia="宋体" w:cs="宋体" w:hint="eastAsia"/>
          <w:sz w:val="28"/>
          <w:lang w:eastAsia="zh-CN"/>
        </w:rPr>
        <w:t>3. 测度结果与实证分析</w:t>
      </w:r>
      <w:bookmarkEnd w:id="33"/>
    </w:p>
    <w:p>
      <w:bookmarkStart w:id="34" w:name="_Toc_31____"/>
      <w:bookmarkStart w:id="12" w:name="31描述统计"/>
      <w:pPr>
        <w:pStyle w:val="Heading3"/>
      </w:pPr>
      <w:bookmarkEnd w:id="12"/>
      <w:r>
        <w:rPr>
          <w:rFonts w:ascii="宋体" w:hAnsi="宋体" w:eastAsia="宋体" w:cs="宋体" w:hint="eastAsia"/>
          <w:sz w:val="24"/>
          <w:lang w:eastAsia="zh-CN"/>
        </w:rPr>
        <w:t>3.1 描述统计</w:t>
      </w:r>
      <w:bookmarkEnd w:id="34"/>
    </w:p>
    <w:p>
      <w:pPr>
        <w:ind w:firstLine="480"/>
        <w:jc w:val="both"/>
      </w:pPr>
      <w:r>
        <w:rPr>
          <w:rFonts w:ascii="宋体" w:hAnsi="宋体" w:eastAsia="宋体" w:cs="宋体" w:hint="eastAsia"/>
          <w:lang w:eastAsia="zh-CN"/>
        </w:rPr>
        <w:t>表</w:t>
      </w:r>
      <w:r>
        <w:rPr>
          <w:rFonts w:ascii="黑体" w:hAnsi="黑体"/>
        </w:rPr>
        <w:t>2</w:t>
      </w:r>
      <w:r>
        <w:rPr>
          <w:rFonts w:ascii="宋体" w:hAnsi="宋体" w:eastAsia="宋体" w:cs="宋体" w:hint="eastAsia"/>
          <w:lang w:eastAsia="zh-CN"/>
        </w:rPr>
        <w:t>报告主测度的总体与分年度描述统计。全样本</w:t>
      </w:r>
      <w:r>
        <w:rPr>
          <w:rFonts w:ascii="黑体" w:hAnsi="黑体"/>
        </w:rPr>
        <w:t>DT</w:t>
      </w:r>
      <w:r>
        <w:rPr>
          <w:rFonts w:ascii="宋体" w:hAnsi="宋体" w:eastAsia="宋体" w:cs="宋体" w:hint="eastAsia"/>
          <w:lang w:eastAsia="zh-CN"/>
        </w:rPr>
        <w:t>均值为</w:t>
      </w:r>
      <w:r>
        <w:rPr>
          <w:rFonts w:ascii="黑体" w:hAnsi="黑体"/>
        </w:rPr>
        <w:t>4.239</w:t>
      </w:r>
      <w:r>
        <w:rPr>
          <w:rFonts w:ascii="宋体" w:hAnsi="宋体" w:eastAsia="宋体" w:cs="宋体" w:hint="eastAsia"/>
          <w:lang w:eastAsia="zh-CN"/>
        </w:rPr>
        <w:t>、标准差</w:t>
      </w:r>
      <w:r>
        <w:rPr>
          <w:rFonts w:ascii="黑体" w:hAnsi="黑体"/>
        </w:rPr>
        <w:t>0.376</w:t>
      </w:r>
      <w:r>
        <w:rPr>
          <w:rFonts w:ascii="宋体" w:hAnsi="宋体" w:eastAsia="宋体" w:cs="宋体" w:hint="eastAsia"/>
          <w:lang w:eastAsia="zh-CN"/>
        </w:rPr>
        <w:t>，最小值</w:t>
      </w:r>
      <w:r>
        <w:rPr>
          <w:rFonts w:ascii="黑体" w:hAnsi="黑体"/>
        </w:rPr>
        <w:t>2.944</w:t>
      </w:r>
      <w:r>
        <w:rPr>
          <w:rFonts w:ascii="宋体" w:hAnsi="宋体" w:eastAsia="宋体" w:cs="宋体" w:hint="eastAsia"/>
          <w:lang w:eastAsia="zh-CN"/>
        </w:rPr>
        <w:t>、最大值</w:t>
      </w:r>
      <w:r>
        <w:rPr>
          <w:rFonts w:ascii="黑体" w:hAnsi="黑体"/>
        </w:rPr>
        <w:t>4.934</w:t>
      </w:r>
      <w:r>
        <w:rPr>
          <w:rFonts w:ascii="宋体" w:hAnsi="宋体" w:eastAsia="宋体" w:cs="宋体" w:hint="eastAsia"/>
          <w:lang w:eastAsia="zh-CN"/>
        </w:rPr>
        <w:t>，对应关键词计数从</w:t>
      </w:r>
      <w:r>
        <w:rPr>
          <w:rFonts w:ascii="黑体" w:hAnsi="黑体"/>
        </w:rPr>
        <w:t>18</w:t>
      </w:r>
      <w:r>
        <w:rPr>
          <w:rFonts w:ascii="宋体" w:hAnsi="宋体" w:eastAsia="宋体" w:cs="宋体" w:hint="eastAsia"/>
          <w:lang w:eastAsia="zh-CN"/>
        </w:rPr>
        <w:t>到</w:t>
      </w:r>
      <w:r>
        <w:rPr>
          <w:rFonts w:ascii="黑体" w:hAnsi="黑体"/>
        </w:rPr>
        <w:t>138</w:t>
      </w:r>
      <w:r>
        <w:rPr>
          <w:rFonts w:ascii="宋体" w:hAnsi="宋体" w:eastAsia="宋体" w:cs="宋体" w:hint="eastAsia"/>
          <w:lang w:eastAsia="zh-CN"/>
        </w:rPr>
        <w:t>次，表明样本企业间数字化叙述密度存在明显差异，测度具有充分的区分度（变异性）。</w:t>
      </w:r>
    </w:p>
    <w:p>
      <w:pPr>
        <w:ind w:firstLine="480"/>
        <w:jc w:val="both"/>
      </w:pPr>
      <w:r>
        <w:rPr>
          <w:rFonts w:ascii="宋体" w:hAnsi="宋体" w:eastAsia="宋体" w:cs="宋体" w:hint="eastAsia"/>
          <w:lang w:eastAsia="zh-CN"/>
        </w:rPr>
        <w:t>表</w:t>
      </w:r>
      <w:r>
        <w:rPr>
          <w:rFonts w:ascii="黑体" w:hAnsi="黑体"/>
        </w:rPr>
        <w:t xml:space="preserve">2 </w:t>
      </w:r>
      <w:r>
        <w:rPr>
          <w:rFonts w:ascii="宋体" w:hAnsi="宋体" w:eastAsia="宋体" w:cs="宋体" w:hint="eastAsia"/>
          <w:lang w:eastAsia="zh-CN"/>
        </w:rPr>
        <w:t>主测度分年度描述统计</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年份</w:t>
            </w:r>
          </w:p>
        </w:tc>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观测数</w:t>
            </w:r>
          </w:p>
        </w:tc>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均值</w:t>
            </w:r>
          </w:p>
        </w:tc>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标准差</w:t>
            </w:r>
          </w:p>
        </w:tc>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最小值</w:t>
            </w:r>
          </w:p>
        </w:tc>
        <w:tc>
          <w:tcPr>
            <w:tcW w:type="dxa" w:w="144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最大值</w:t>
            </w:r>
          </w:p>
        </w:tc>
      </w:tr>
      <w:tr>
        <w:tc>
          <w:tcPr>
            <w:tcW w:type="dxa" w:w="1440"/>
            <w:vAlign w:val="center"/>
            <w:tcMar>
              <w:top w:w="60" w:type="dxa"/>
              <w:bottom w:w="60" w:type="dxa"/>
              <w:left w:w="120" w:type="dxa"/>
              <w:right w:w="120" w:type="dxa"/>
            </w:tcMar>
          </w:tcPr>
          <w:p>
            <w:pPr>
              <w:jc w:val="left"/>
              <w:spacing w:line="240" w:lineRule="auto" w:before="60" w:after="60"/>
            </w:pPr>
            <w:r>
              <w:t>2019</w:t>
            </w:r>
          </w:p>
        </w:tc>
        <w:tc>
          <w:tcPr>
            <w:tcW w:type="dxa" w:w="1440"/>
            <w:vAlign w:val="center"/>
            <w:tcMar>
              <w:top w:w="60" w:type="dxa"/>
              <w:bottom w:w="60" w:type="dxa"/>
              <w:left w:w="120" w:type="dxa"/>
              <w:right w:w="120" w:type="dxa"/>
            </w:tcMar>
          </w:tcPr>
          <w:p>
            <w:pPr>
              <w:jc w:val="center"/>
              <w:spacing w:line="240" w:lineRule="auto" w:before="60" w:after="60"/>
            </w:pPr>
            <w:r>
              <w:t>60</w:t>
            </w:r>
          </w:p>
        </w:tc>
        <w:tc>
          <w:tcPr>
            <w:tcW w:type="dxa" w:w="1440"/>
            <w:vAlign w:val="center"/>
            <w:tcMar>
              <w:top w:w="60" w:type="dxa"/>
              <w:bottom w:w="60" w:type="dxa"/>
              <w:left w:w="120" w:type="dxa"/>
              <w:right w:w="120" w:type="dxa"/>
            </w:tcMar>
          </w:tcPr>
          <w:p>
            <w:pPr>
              <w:jc w:val="center"/>
              <w:spacing w:line="240" w:lineRule="auto" w:before="60" w:after="60"/>
            </w:pPr>
            <w:r>
              <w:t>4.018</w:t>
            </w:r>
          </w:p>
        </w:tc>
        <w:tc>
          <w:tcPr>
            <w:tcW w:type="dxa" w:w="1440"/>
            <w:vAlign w:val="center"/>
            <w:tcMar>
              <w:top w:w="60" w:type="dxa"/>
              <w:bottom w:w="60" w:type="dxa"/>
              <w:left w:w="120" w:type="dxa"/>
              <w:right w:w="120" w:type="dxa"/>
            </w:tcMar>
          </w:tcPr>
          <w:p>
            <w:pPr>
              <w:jc w:val="center"/>
              <w:spacing w:line="240" w:lineRule="auto" w:before="60" w:after="60"/>
            </w:pPr>
            <w:r>
              <w:t>0.429</w:t>
            </w:r>
          </w:p>
        </w:tc>
        <w:tc>
          <w:tcPr>
            <w:tcW w:type="dxa" w:w="1440"/>
            <w:vAlign w:val="center"/>
            <w:tcMar>
              <w:top w:w="60" w:type="dxa"/>
              <w:bottom w:w="60" w:type="dxa"/>
              <w:left w:w="120" w:type="dxa"/>
              <w:right w:w="120" w:type="dxa"/>
            </w:tcMar>
          </w:tcPr>
          <w:p>
            <w:pPr>
              <w:jc w:val="center"/>
              <w:spacing w:line="240" w:lineRule="auto" w:before="60" w:after="60"/>
            </w:pPr>
            <w:r>
              <w:t>2.944</w:t>
            </w:r>
          </w:p>
        </w:tc>
        <w:tc>
          <w:tcPr>
            <w:tcW w:type="dxa" w:w="1440"/>
            <w:vAlign w:val="center"/>
            <w:tcMar>
              <w:top w:w="60" w:type="dxa"/>
              <w:bottom w:w="60" w:type="dxa"/>
              <w:left w:w="120" w:type="dxa"/>
              <w:right w:w="120" w:type="dxa"/>
            </w:tcMar>
          </w:tcPr>
          <w:p>
            <w:pPr>
              <w:jc w:val="center"/>
              <w:spacing w:line="240" w:lineRule="auto" w:before="60" w:after="60"/>
            </w:pPr>
            <w:r>
              <w:t>4.727</w:t>
            </w:r>
          </w:p>
        </w:tc>
      </w:tr>
      <w:tr>
        <w:tc>
          <w:tcPr>
            <w:tcW w:type="dxa" w:w="1440"/>
            <w:vAlign w:val="center"/>
            <w:tcMar>
              <w:top w:w="60" w:type="dxa"/>
              <w:bottom w:w="60" w:type="dxa"/>
              <w:left w:w="120" w:type="dxa"/>
              <w:right w:w="120" w:type="dxa"/>
            </w:tcMar>
          </w:tcPr>
          <w:p>
            <w:pPr>
              <w:jc w:val="left"/>
              <w:spacing w:line="240" w:lineRule="auto" w:before="60" w:after="60"/>
            </w:pPr>
            <w:r>
              <w:t>2020</w:t>
            </w:r>
          </w:p>
        </w:tc>
        <w:tc>
          <w:tcPr>
            <w:tcW w:type="dxa" w:w="1440"/>
            <w:vAlign w:val="center"/>
            <w:tcMar>
              <w:top w:w="60" w:type="dxa"/>
              <w:bottom w:w="60" w:type="dxa"/>
              <w:left w:w="120" w:type="dxa"/>
              <w:right w:w="120" w:type="dxa"/>
            </w:tcMar>
          </w:tcPr>
          <w:p>
            <w:pPr>
              <w:jc w:val="center"/>
              <w:spacing w:line="240" w:lineRule="auto" w:before="60" w:after="60"/>
            </w:pPr>
            <w:r>
              <w:t>60</w:t>
            </w:r>
          </w:p>
        </w:tc>
        <w:tc>
          <w:tcPr>
            <w:tcW w:type="dxa" w:w="1440"/>
            <w:vAlign w:val="center"/>
            <w:tcMar>
              <w:top w:w="60" w:type="dxa"/>
              <w:bottom w:w="60" w:type="dxa"/>
              <w:left w:w="120" w:type="dxa"/>
              <w:right w:w="120" w:type="dxa"/>
            </w:tcMar>
          </w:tcPr>
          <w:p>
            <w:pPr>
              <w:jc w:val="center"/>
              <w:spacing w:line="240" w:lineRule="auto" w:before="60" w:after="60"/>
            </w:pPr>
            <w:r>
              <w:t>4.140</w:t>
            </w:r>
          </w:p>
        </w:tc>
        <w:tc>
          <w:tcPr>
            <w:tcW w:type="dxa" w:w="1440"/>
            <w:vAlign w:val="center"/>
            <w:tcMar>
              <w:top w:w="60" w:type="dxa"/>
              <w:bottom w:w="60" w:type="dxa"/>
              <w:left w:w="120" w:type="dxa"/>
              <w:right w:w="120" w:type="dxa"/>
            </w:tcMar>
          </w:tcPr>
          <w:p>
            <w:pPr>
              <w:jc w:val="center"/>
              <w:spacing w:line="240" w:lineRule="auto" w:before="60" w:after="60"/>
            </w:pPr>
            <w:r>
              <w:t>0.369</w:t>
            </w:r>
          </w:p>
        </w:tc>
        <w:tc>
          <w:tcPr>
            <w:tcW w:type="dxa" w:w="1440"/>
            <w:vAlign w:val="center"/>
            <w:tcMar>
              <w:top w:w="60" w:type="dxa"/>
              <w:bottom w:w="60" w:type="dxa"/>
              <w:left w:w="120" w:type="dxa"/>
              <w:right w:w="120" w:type="dxa"/>
            </w:tcMar>
          </w:tcPr>
          <w:p>
            <w:pPr>
              <w:jc w:val="center"/>
              <w:spacing w:line="240" w:lineRule="auto" w:before="60" w:after="60"/>
            </w:pPr>
            <w:r>
              <w:t>3.332</w:t>
            </w:r>
          </w:p>
        </w:tc>
        <w:tc>
          <w:tcPr>
            <w:tcW w:type="dxa" w:w="1440"/>
            <w:vAlign w:val="center"/>
            <w:tcMar>
              <w:top w:w="60" w:type="dxa"/>
              <w:bottom w:w="60" w:type="dxa"/>
              <w:left w:w="120" w:type="dxa"/>
              <w:right w:w="120" w:type="dxa"/>
            </w:tcMar>
          </w:tcPr>
          <w:p>
            <w:pPr>
              <w:jc w:val="center"/>
              <w:spacing w:line="240" w:lineRule="auto" w:before="60" w:after="60"/>
            </w:pPr>
            <w:r>
              <w:t>4.754</w:t>
            </w:r>
          </w:p>
        </w:tc>
      </w:tr>
      <w:tr>
        <w:tc>
          <w:tcPr>
            <w:tcW w:type="dxa" w:w="1440"/>
            <w:vAlign w:val="center"/>
            <w:tcMar>
              <w:top w:w="60" w:type="dxa"/>
              <w:bottom w:w="60" w:type="dxa"/>
              <w:left w:w="120" w:type="dxa"/>
              <w:right w:w="120" w:type="dxa"/>
            </w:tcMar>
          </w:tcPr>
          <w:p>
            <w:pPr>
              <w:jc w:val="left"/>
              <w:spacing w:line="240" w:lineRule="auto" w:before="60" w:after="60"/>
            </w:pPr>
            <w:r>
              <w:t>2021</w:t>
            </w:r>
          </w:p>
        </w:tc>
        <w:tc>
          <w:tcPr>
            <w:tcW w:type="dxa" w:w="1440"/>
            <w:vAlign w:val="center"/>
            <w:tcMar>
              <w:top w:w="60" w:type="dxa"/>
              <w:bottom w:w="60" w:type="dxa"/>
              <w:left w:w="120" w:type="dxa"/>
              <w:right w:w="120" w:type="dxa"/>
            </w:tcMar>
          </w:tcPr>
          <w:p>
            <w:pPr>
              <w:jc w:val="center"/>
              <w:spacing w:line="240" w:lineRule="auto" w:before="60" w:after="60"/>
            </w:pPr>
            <w:r>
              <w:t>60</w:t>
            </w:r>
          </w:p>
        </w:tc>
        <w:tc>
          <w:tcPr>
            <w:tcW w:type="dxa" w:w="1440"/>
            <w:vAlign w:val="center"/>
            <w:tcMar>
              <w:top w:w="60" w:type="dxa"/>
              <w:bottom w:w="60" w:type="dxa"/>
              <w:left w:w="120" w:type="dxa"/>
              <w:right w:w="120" w:type="dxa"/>
            </w:tcMar>
          </w:tcPr>
          <w:p>
            <w:pPr>
              <w:jc w:val="center"/>
              <w:spacing w:line="240" w:lineRule="auto" w:before="60" w:after="60"/>
            </w:pPr>
            <w:r>
              <w:t>4.243</w:t>
            </w:r>
          </w:p>
        </w:tc>
        <w:tc>
          <w:tcPr>
            <w:tcW w:type="dxa" w:w="1440"/>
            <w:vAlign w:val="center"/>
            <w:tcMar>
              <w:top w:w="60" w:type="dxa"/>
              <w:bottom w:w="60" w:type="dxa"/>
              <w:left w:w="120" w:type="dxa"/>
              <w:right w:w="120" w:type="dxa"/>
            </w:tcMar>
          </w:tcPr>
          <w:p>
            <w:pPr>
              <w:jc w:val="center"/>
              <w:spacing w:line="240" w:lineRule="auto" w:before="60" w:after="60"/>
            </w:pPr>
            <w:r>
              <w:t>0.337</w:t>
            </w:r>
          </w:p>
        </w:tc>
        <w:tc>
          <w:tcPr>
            <w:tcW w:type="dxa" w:w="1440"/>
            <w:vAlign w:val="center"/>
            <w:tcMar>
              <w:top w:w="60" w:type="dxa"/>
              <w:bottom w:w="60" w:type="dxa"/>
              <w:left w:w="120" w:type="dxa"/>
              <w:right w:w="120" w:type="dxa"/>
            </w:tcMar>
          </w:tcPr>
          <w:p>
            <w:pPr>
              <w:jc w:val="center"/>
              <w:spacing w:line="240" w:lineRule="auto" w:before="60" w:after="60"/>
            </w:pPr>
            <w:r>
              <w:t>3.555</w:t>
            </w:r>
          </w:p>
        </w:tc>
        <w:tc>
          <w:tcPr>
            <w:tcW w:type="dxa" w:w="1440"/>
            <w:vAlign w:val="center"/>
            <w:tcMar>
              <w:top w:w="60" w:type="dxa"/>
              <w:bottom w:w="60" w:type="dxa"/>
              <w:left w:w="120" w:type="dxa"/>
              <w:right w:w="120" w:type="dxa"/>
            </w:tcMar>
          </w:tcPr>
          <w:p>
            <w:pPr>
              <w:jc w:val="center"/>
              <w:spacing w:line="240" w:lineRule="auto" w:before="60" w:after="60"/>
            </w:pPr>
            <w:r>
              <w:t>4.812</w:t>
            </w:r>
          </w:p>
        </w:tc>
      </w:tr>
      <w:tr>
        <w:tc>
          <w:tcPr>
            <w:tcW w:type="dxa" w:w="1440"/>
            <w:vAlign w:val="center"/>
            <w:tcMar>
              <w:top w:w="60" w:type="dxa"/>
              <w:bottom w:w="60" w:type="dxa"/>
              <w:left w:w="120" w:type="dxa"/>
              <w:right w:w="120" w:type="dxa"/>
            </w:tcMar>
          </w:tcPr>
          <w:p>
            <w:pPr>
              <w:jc w:val="left"/>
              <w:spacing w:line="240" w:lineRule="auto" w:before="60" w:after="60"/>
            </w:pPr>
            <w:r>
              <w:t>2022</w:t>
            </w:r>
          </w:p>
        </w:tc>
        <w:tc>
          <w:tcPr>
            <w:tcW w:type="dxa" w:w="1440"/>
            <w:vAlign w:val="center"/>
            <w:tcMar>
              <w:top w:w="60" w:type="dxa"/>
              <w:bottom w:w="60" w:type="dxa"/>
              <w:left w:w="120" w:type="dxa"/>
              <w:right w:w="120" w:type="dxa"/>
            </w:tcMar>
          </w:tcPr>
          <w:p>
            <w:pPr>
              <w:jc w:val="center"/>
              <w:spacing w:line="240" w:lineRule="auto" w:before="60" w:after="60"/>
            </w:pPr>
            <w:r>
              <w:t>60</w:t>
            </w:r>
          </w:p>
        </w:tc>
        <w:tc>
          <w:tcPr>
            <w:tcW w:type="dxa" w:w="1440"/>
            <w:vAlign w:val="center"/>
            <w:tcMar>
              <w:top w:w="60" w:type="dxa"/>
              <w:bottom w:w="60" w:type="dxa"/>
              <w:left w:w="120" w:type="dxa"/>
              <w:right w:w="120" w:type="dxa"/>
            </w:tcMar>
          </w:tcPr>
          <w:p>
            <w:pPr>
              <w:jc w:val="center"/>
              <w:spacing w:line="240" w:lineRule="auto" w:before="60" w:after="60"/>
            </w:pPr>
            <w:r>
              <w:t>4.358</w:t>
            </w:r>
          </w:p>
        </w:tc>
        <w:tc>
          <w:tcPr>
            <w:tcW w:type="dxa" w:w="1440"/>
            <w:vAlign w:val="center"/>
            <w:tcMar>
              <w:top w:w="60" w:type="dxa"/>
              <w:bottom w:w="60" w:type="dxa"/>
              <w:left w:w="120" w:type="dxa"/>
              <w:right w:w="120" w:type="dxa"/>
            </w:tcMar>
          </w:tcPr>
          <w:p>
            <w:pPr>
              <w:jc w:val="center"/>
              <w:spacing w:line="240" w:lineRule="auto" w:before="60" w:after="60"/>
            </w:pPr>
            <w:r>
              <w:t>0.305</w:t>
            </w:r>
          </w:p>
        </w:tc>
        <w:tc>
          <w:tcPr>
            <w:tcW w:type="dxa" w:w="1440"/>
            <w:vAlign w:val="center"/>
            <w:tcMar>
              <w:top w:w="60" w:type="dxa"/>
              <w:bottom w:w="60" w:type="dxa"/>
              <w:left w:w="120" w:type="dxa"/>
              <w:right w:w="120" w:type="dxa"/>
            </w:tcMar>
          </w:tcPr>
          <w:p>
            <w:pPr>
              <w:jc w:val="center"/>
              <w:spacing w:line="240" w:lineRule="auto" w:before="60" w:after="60"/>
            </w:pPr>
            <w:r>
              <w:t>3.611</w:t>
            </w:r>
          </w:p>
        </w:tc>
        <w:tc>
          <w:tcPr>
            <w:tcW w:type="dxa" w:w="1440"/>
            <w:vAlign w:val="center"/>
            <w:tcMar>
              <w:top w:w="60" w:type="dxa"/>
              <w:bottom w:w="60" w:type="dxa"/>
              <w:left w:w="120" w:type="dxa"/>
              <w:right w:w="120" w:type="dxa"/>
            </w:tcMar>
          </w:tcPr>
          <w:p>
            <w:pPr>
              <w:jc w:val="center"/>
              <w:spacing w:line="240" w:lineRule="auto" w:before="60" w:after="60"/>
            </w:pPr>
            <w:r>
              <w:t>4.890</w:t>
            </w:r>
          </w:p>
        </w:tc>
      </w:tr>
      <w:tr>
        <w:tc>
          <w:tcPr>
            <w:tcW w:type="dxa" w:w="1440"/>
            <w:tcBorders>
              <w:bottom w:val="single" w:sz="12" w:space="0" w:color="333333"/>
            </w:tcBorders>
            <w:vAlign w:val="center"/>
            <w:tcMar>
              <w:top w:w="60" w:type="dxa"/>
              <w:bottom w:w="60" w:type="dxa"/>
              <w:left w:w="120" w:type="dxa"/>
              <w:right w:w="120" w:type="dxa"/>
            </w:tcMar>
          </w:tcPr>
          <w:p>
            <w:pPr>
              <w:jc w:val="left"/>
              <w:spacing w:line="240" w:lineRule="auto" w:before="60" w:after="60"/>
            </w:pPr>
            <w:r>
              <w:t>2023</w:t>
            </w:r>
          </w:p>
        </w:tc>
        <w:tc>
          <w:tcPr>
            <w:tcW w:type="dxa" w:w="1440"/>
            <w:tcBorders>
              <w:bottom w:val="single" w:sz="12" w:space="0" w:color="333333"/>
            </w:tcBorders>
            <w:vAlign w:val="center"/>
            <w:tcMar>
              <w:top w:w="60" w:type="dxa"/>
              <w:bottom w:w="60" w:type="dxa"/>
              <w:left w:w="120" w:type="dxa"/>
              <w:right w:w="120" w:type="dxa"/>
            </w:tcMar>
          </w:tcPr>
          <w:p>
            <w:pPr>
              <w:jc w:val="center"/>
              <w:spacing w:line="240" w:lineRule="auto" w:before="60" w:after="60"/>
            </w:pPr>
            <w:r>
              <w:t>60</w:t>
            </w:r>
          </w:p>
        </w:tc>
        <w:tc>
          <w:tcPr>
            <w:tcW w:type="dxa" w:w="1440"/>
            <w:tcBorders>
              <w:bottom w:val="single" w:sz="12" w:space="0" w:color="333333"/>
            </w:tcBorders>
            <w:vAlign w:val="center"/>
            <w:tcMar>
              <w:top w:w="60" w:type="dxa"/>
              <w:bottom w:w="60" w:type="dxa"/>
              <w:left w:w="120" w:type="dxa"/>
              <w:right w:w="120" w:type="dxa"/>
            </w:tcMar>
          </w:tcPr>
          <w:p>
            <w:pPr>
              <w:jc w:val="center"/>
              <w:spacing w:line="240" w:lineRule="auto" w:before="60" w:after="60"/>
            </w:pPr>
            <w:r>
              <w:t>4.435</w:t>
            </w:r>
          </w:p>
        </w:tc>
        <w:tc>
          <w:tcPr>
            <w:tcW w:type="dxa" w:w="1440"/>
            <w:tcBorders>
              <w:bottom w:val="single" w:sz="12" w:space="0" w:color="333333"/>
            </w:tcBorders>
            <w:vAlign w:val="center"/>
            <w:tcMar>
              <w:top w:w="60" w:type="dxa"/>
              <w:bottom w:w="60" w:type="dxa"/>
              <w:left w:w="120" w:type="dxa"/>
              <w:right w:w="120" w:type="dxa"/>
            </w:tcMar>
          </w:tcPr>
          <w:p>
            <w:pPr>
              <w:jc w:val="center"/>
              <w:spacing w:line="240" w:lineRule="auto" w:before="60" w:after="60"/>
            </w:pPr>
            <w:r>
              <w:t>0.277</w:t>
            </w:r>
          </w:p>
        </w:tc>
        <w:tc>
          <w:tcPr>
            <w:tcW w:type="dxa" w:w="1440"/>
            <w:tcBorders>
              <w:bottom w:val="single" w:sz="12" w:space="0" w:color="333333"/>
            </w:tcBorders>
            <w:vAlign w:val="center"/>
            <w:tcMar>
              <w:top w:w="60" w:type="dxa"/>
              <w:bottom w:w="60" w:type="dxa"/>
              <w:left w:w="120" w:type="dxa"/>
              <w:right w:w="120" w:type="dxa"/>
            </w:tcMar>
          </w:tcPr>
          <w:p>
            <w:pPr>
              <w:jc w:val="center"/>
              <w:spacing w:line="240" w:lineRule="auto" w:before="60" w:after="60"/>
            </w:pPr>
            <w:r>
              <w:t>3.871</w:t>
            </w:r>
          </w:p>
        </w:tc>
        <w:tc>
          <w:tcPr>
            <w:tcW w:type="dxa" w:w="1440"/>
            <w:tcBorders>
              <w:bottom w:val="single" w:sz="12" w:space="0" w:color="333333"/>
            </w:tcBorders>
            <w:vAlign w:val="center"/>
            <w:tcMar>
              <w:top w:w="60" w:type="dxa"/>
              <w:bottom w:w="60" w:type="dxa"/>
              <w:left w:w="120" w:type="dxa"/>
              <w:right w:w="120" w:type="dxa"/>
            </w:tcMar>
          </w:tcPr>
          <w:p>
            <w:pPr>
              <w:jc w:val="center"/>
              <w:spacing w:line="240" w:lineRule="auto" w:before="60" w:after="60"/>
            </w:pPr>
            <w:r>
              <w:t>4.934</w:t>
            </w:r>
          </w:p>
        </w:tc>
      </w:tr>
    </w:tbl>
    <w:p>
      <w:pPr>
        <w:ind w:firstLine="480"/>
        <w:jc w:val="both"/>
      </w:pPr>
      <w:r>
        <w:rPr>
          <w:rFonts w:ascii="宋体" w:hAnsi="宋体" w:eastAsia="宋体" w:cs="宋体" w:hint="eastAsia"/>
          <w:lang w:eastAsia="zh-CN"/>
        </w:rPr>
        <w:t>从时间维度看，</w:t>
      </w:r>
      <w:r>
        <w:rPr>
          <w:rFonts w:ascii="黑体" w:hAnsi="黑体"/>
        </w:rPr>
        <w:t>DT</w:t>
      </w:r>
      <w:r>
        <w:rPr>
          <w:rFonts w:ascii="宋体" w:hAnsi="宋体" w:eastAsia="宋体" w:cs="宋体" w:hint="eastAsia"/>
          <w:lang w:eastAsia="zh-CN"/>
        </w:rPr>
        <w:t>均值由</w:t>
      </w:r>
      <w:r>
        <w:rPr>
          <w:rFonts w:ascii="黑体" w:hAnsi="黑体"/>
        </w:rPr>
        <w:t>2019</w:t>
      </w:r>
      <w:r>
        <w:rPr>
          <w:rFonts w:ascii="宋体" w:hAnsi="宋体" w:eastAsia="宋体" w:cs="宋体" w:hint="eastAsia"/>
          <w:lang w:eastAsia="zh-CN"/>
        </w:rPr>
        <w:t>年的</w:t>
      </w:r>
      <w:r>
        <w:rPr>
          <w:rFonts w:ascii="黑体" w:hAnsi="黑体"/>
        </w:rPr>
        <w:t>4.018</w:t>
      </w:r>
      <w:r>
        <w:rPr>
          <w:rFonts w:ascii="宋体" w:hAnsi="宋体" w:eastAsia="宋体" w:cs="宋体" w:hint="eastAsia"/>
          <w:lang w:eastAsia="zh-CN"/>
        </w:rPr>
        <w:t>逐年上升至</w:t>
      </w:r>
      <w:r>
        <w:rPr>
          <w:rFonts w:ascii="黑体" w:hAnsi="黑体"/>
        </w:rPr>
        <w:t>2023</w:t>
      </w:r>
      <w:r>
        <w:rPr>
          <w:rFonts w:ascii="宋体" w:hAnsi="宋体" w:eastAsia="宋体" w:cs="宋体" w:hint="eastAsia"/>
          <w:lang w:eastAsia="zh-CN"/>
        </w:rPr>
        <w:t>年的</w:t>
      </w:r>
      <w:r>
        <w:rPr>
          <w:rFonts w:ascii="黑体" w:hAnsi="黑体"/>
        </w:rPr>
        <w:t>4.435</w:t>
      </w:r>
      <w:r>
        <w:rPr>
          <w:rFonts w:ascii="宋体" w:hAnsi="宋体" w:eastAsia="宋体" w:cs="宋体" w:hint="eastAsia"/>
          <w:lang w:eastAsia="zh-CN"/>
        </w:rPr>
        <w:t>，五年累计上升约</w:t>
      </w:r>
      <w:r>
        <w:rPr>
          <w:rFonts w:ascii="黑体" w:hAnsi="黑体"/>
        </w:rPr>
        <w:t>10.4%</w:t>
      </w:r>
      <w:r>
        <w:rPr>
          <w:rFonts w:ascii="宋体" w:hAnsi="宋体" w:eastAsia="宋体" w:cs="宋体" w:hint="eastAsia"/>
          <w:lang w:eastAsia="zh-CN"/>
        </w:rPr>
        <w:t>，与宏观层面数字经济加速发展的趋势一致；同时组间标准差由</w:t>
      </w:r>
      <w:r>
        <w:rPr>
          <w:rFonts w:ascii="黑体" w:hAnsi="黑体"/>
        </w:rPr>
        <w:t>0.429</w:t>
      </w:r>
      <w:r>
        <w:rPr>
          <w:rFonts w:ascii="宋体" w:hAnsi="宋体" w:eastAsia="宋体" w:cs="宋体" w:hint="eastAsia"/>
          <w:lang w:eastAsia="zh-CN"/>
        </w:rPr>
        <w:t>收敛至</w:t>
      </w:r>
      <w:r>
        <w:rPr>
          <w:rFonts w:ascii="黑体" w:hAnsi="黑体"/>
        </w:rPr>
        <w:t>0.277</w:t>
      </w:r>
      <w:r>
        <w:rPr>
          <w:rFonts w:ascii="宋体" w:hAnsi="宋体" w:eastAsia="宋体" w:cs="宋体" w:hint="eastAsia"/>
          <w:lang w:eastAsia="zh-CN"/>
        </w:rPr>
        <w:t>，暗示样本企业的数字化叙述趋于同质化，后发企业加速追赶。</w:t>
      </w:r>
    </w:p>
    <w:p>
      <w:pPr>
        <w:ind w:firstLine="480"/>
        <w:jc w:val="both"/>
      </w:pPr>
      <w:r>
        <w:rPr>
          <w:rFonts w:ascii="宋体" w:hAnsi="宋体" w:eastAsia="宋体" w:cs="宋体" w:hint="eastAsia"/>
          <w:lang w:eastAsia="zh-CN"/>
        </w:rPr>
        <w:t>从技术结构看（表</w:t>
      </w:r>
      <w:r>
        <w:rPr>
          <w:rFonts w:ascii="黑体" w:hAnsi="黑体"/>
        </w:rPr>
        <w:t>3</w:t>
      </w:r>
      <w:r>
        <w:rPr>
          <w:rFonts w:ascii="宋体" w:hAnsi="宋体" w:eastAsia="宋体" w:cs="宋体" w:hint="eastAsia"/>
          <w:lang w:eastAsia="zh-CN"/>
        </w:rPr>
        <w:t>），数字技术应用类词汇占比最高（</w:t>
      </w:r>
      <w:r>
        <w:rPr>
          <w:rFonts w:ascii="黑体" w:hAnsi="黑体"/>
        </w:rPr>
        <w:t>32.6%</w:t>
      </w:r>
      <w:r>
        <w:rPr>
          <w:rFonts w:ascii="宋体" w:hAnsi="宋体" w:eastAsia="宋体" w:cs="宋体" w:hint="eastAsia"/>
          <w:lang w:eastAsia="zh-CN"/>
        </w:rPr>
        <w:t>），大数据（</w:t>
      </w:r>
      <w:r>
        <w:rPr>
          <w:rFonts w:ascii="黑体" w:hAnsi="黑体"/>
        </w:rPr>
        <w:t>22.0%</w:t>
      </w:r>
      <w:r>
        <w:rPr>
          <w:rFonts w:ascii="宋体" w:hAnsi="宋体" w:eastAsia="宋体" w:cs="宋体" w:hint="eastAsia"/>
          <w:lang w:eastAsia="zh-CN"/>
        </w:rPr>
        <w:t>）、人工智能（</w:t>
      </w:r>
      <w:r>
        <w:rPr>
          <w:rFonts w:ascii="黑体" w:hAnsi="黑体"/>
        </w:rPr>
        <w:t>18.5%</w:t>
      </w:r>
      <w:r>
        <w:rPr>
          <w:rFonts w:ascii="宋体" w:hAnsi="宋体" w:eastAsia="宋体" w:cs="宋体" w:hint="eastAsia"/>
          <w:lang w:eastAsia="zh-CN"/>
        </w:rPr>
        <w:t>）、云计算（</w:t>
      </w:r>
      <w:r>
        <w:rPr>
          <w:rFonts w:ascii="黑体" w:hAnsi="黑体"/>
        </w:rPr>
        <w:t>16.1%</w:t>
      </w:r>
      <w:r>
        <w:rPr>
          <w:rFonts w:ascii="宋体" w:hAnsi="宋体" w:eastAsia="宋体" w:cs="宋体" w:hint="eastAsia"/>
          <w:lang w:eastAsia="zh-CN"/>
        </w:rPr>
        <w:t>）次之，区块链占比最低（</w:t>
      </w:r>
      <w:r>
        <w:rPr>
          <w:rFonts w:ascii="黑体" w:hAnsi="黑体"/>
        </w:rPr>
        <w:t>10.9%</w:t>
      </w:r>
      <w:r>
        <w:rPr>
          <w:rFonts w:ascii="宋体" w:hAnsi="宋体" w:eastAsia="宋体" w:cs="宋体" w:hint="eastAsia"/>
          <w:lang w:eastAsia="zh-CN"/>
        </w:rPr>
        <w:t>）。这一结构与真实市场中技术应用先行、底层技术渗透滞后的特征相符。</w:t>
      </w:r>
    </w:p>
    <w:p>
      <w:pPr>
        <w:ind w:firstLine="480"/>
        <w:jc w:val="both"/>
      </w:pPr>
      <w:r>
        <w:rPr>
          <w:rFonts w:ascii="宋体" w:hAnsi="宋体" w:eastAsia="宋体" w:cs="宋体" w:hint="eastAsia"/>
          <w:lang w:eastAsia="zh-CN"/>
        </w:rPr>
        <w:t>表</w:t>
      </w:r>
      <w:r>
        <w:rPr>
          <w:rFonts w:ascii="黑体" w:hAnsi="黑体"/>
        </w:rPr>
        <w:t xml:space="preserve">3 </w:t>
      </w:r>
      <w:r>
        <w:rPr>
          <w:rFonts w:ascii="宋体" w:hAnsi="宋体" w:eastAsia="宋体" w:cs="宋体" w:hint="eastAsia"/>
          <w:lang w:eastAsia="zh-CN"/>
        </w:rPr>
        <w:t>五维词频与技术结构</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维度</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词频均值</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词频标准差</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占比</w:t>
            </w:r>
          </w:p>
        </w:tc>
      </w:tr>
      <w:tr>
        <w:tc>
          <w:tcPr>
            <w:tcW w:type="dxa" w:w="2160"/>
            <w:vAlign w:val="center"/>
            <w:tcMar>
              <w:top w:w="60" w:type="dxa"/>
              <w:bottom w:w="60" w:type="dxa"/>
              <w:left w:w="120" w:type="dxa"/>
              <w:right w:w="120" w:type="dxa"/>
            </w:tcMar>
          </w:tcPr>
          <w:p>
            <w:pPr>
              <w:jc w:val="left"/>
              <w:spacing w:line="240" w:lineRule="auto" w:before="60" w:after="60"/>
            </w:pPr>
            <w:r>
              <w:t>数字技术应用</w:t>
            </w:r>
          </w:p>
        </w:tc>
        <w:tc>
          <w:tcPr>
            <w:tcW w:type="dxa" w:w="2160"/>
            <w:vAlign w:val="center"/>
            <w:tcMar>
              <w:top w:w="60" w:type="dxa"/>
              <w:bottom w:w="60" w:type="dxa"/>
              <w:left w:w="120" w:type="dxa"/>
              <w:right w:w="120" w:type="dxa"/>
            </w:tcMar>
          </w:tcPr>
          <w:p>
            <w:pPr>
              <w:jc w:val="center"/>
              <w:spacing w:line="240" w:lineRule="auto" w:before="60" w:after="60"/>
            </w:pPr>
            <w:r>
              <w:t>24.00</w:t>
            </w:r>
          </w:p>
        </w:tc>
        <w:tc>
          <w:tcPr>
            <w:tcW w:type="dxa" w:w="2160"/>
            <w:vAlign w:val="center"/>
            <w:tcMar>
              <w:top w:w="60" w:type="dxa"/>
              <w:bottom w:w="60" w:type="dxa"/>
              <w:left w:w="120" w:type="dxa"/>
              <w:right w:w="120" w:type="dxa"/>
            </w:tcMar>
          </w:tcPr>
          <w:p>
            <w:pPr>
              <w:jc w:val="center"/>
              <w:spacing w:line="240" w:lineRule="auto" w:before="60" w:after="60"/>
            </w:pPr>
            <w:r>
              <w:t>10.93</w:t>
            </w:r>
          </w:p>
        </w:tc>
        <w:tc>
          <w:tcPr>
            <w:tcW w:type="dxa" w:w="2160"/>
            <w:vAlign w:val="center"/>
            <w:tcMar>
              <w:top w:w="60" w:type="dxa"/>
              <w:bottom w:w="60" w:type="dxa"/>
              <w:left w:w="120" w:type="dxa"/>
              <w:right w:w="120" w:type="dxa"/>
            </w:tcMar>
          </w:tcPr>
          <w:p>
            <w:pPr>
              <w:jc w:val="center"/>
              <w:spacing w:line="240" w:lineRule="auto" w:before="60" w:after="60"/>
            </w:pPr>
            <w:r>
              <w:t>32.6%</w:t>
            </w:r>
          </w:p>
        </w:tc>
      </w:tr>
      <w:tr>
        <w:tc>
          <w:tcPr>
            <w:tcW w:type="dxa" w:w="2160"/>
            <w:vAlign w:val="center"/>
            <w:tcMar>
              <w:top w:w="60" w:type="dxa"/>
              <w:bottom w:w="60" w:type="dxa"/>
              <w:left w:w="120" w:type="dxa"/>
              <w:right w:w="120" w:type="dxa"/>
            </w:tcMar>
          </w:tcPr>
          <w:p>
            <w:pPr>
              <w:jc w:val="left"/>
              <w:spacing w:line="240" w:lineRule="auto" w:before="60" w:after="60"/>
            </w:pPr>
            <w:r>
              <w:t>大数据</w:t>
            </w:r>
          </w:p>
        </w:tc>
        <w:tc>
          <w:tcPr>
            <w:tcW w:type="dxa" w:w="2160"/>
            <w:vAlign w:val="center"/>
            <w:tcMar>
              <w:top w:w="60" w:type="dxa"/>
              <w:bottom w:w="60" w:type="dxa"/>
              <w:left w:w="120" w:type="dxa"/>
              <w:right w:w="120" w:type="dxa"/>
            </w:tcMar>
          </w:tcPr>
          <w:p>
            <w:pPr>
              <w:jc w:val="center"/>
              <w:spacing w:line="240" w:lineRule="auto" w:before="60" w:after="60"/>
            </w:pPr>
            <w:r>
              <w:t>16.12</w:t>
            </w:r>
          </w:p>
        </w:tc>
        <w:tc>
          <w:tcPr>
            <w:tcW w:type="dxa" w:w="2160"/>
            <w:vAlign w:val="center"/>
            <w:tcMar>
              <w:top w:w="60" w:type="dxa"/>
              <w:bottom w:w="60" w:type="dxa"/>
              <w:left w:w="120" w:type="dxa"/>
              <w:right w:w="120" w:type="dxa"/>
            </w:tcMar>
          </w:tcPr>
          <w:p>
            <w:pPr>
              <w:jc w:val="center"/>
              <w:spacing w:line="240" w:lineRule="auto" w:before="60" w:after="60"/>
            </w:pPr>
            <w:r>
              <w:t>8.16</w:t>
            </w:r>
          </w:p>
        </w:tc>
        <w:tc>
          <w:tcPr>
            <w:tcW w:type="dxa" w:w="2160"/>
            <w:vAlign w:val="center"/>
            <w:tcMar>
              <w:top w:w="60" w:type="dxa"/>
              <w:bottom w:w="60" w:type="dxa"/>
              <w:left w:w="120" w:type="dxa"/>
              <w:right w:w="120" w:type="dxa"/>
            </w:tcMar>
          </w:tcPr>
          <w:p>
            <w:pPr>
              <w:jc w:val="center"/>
              <w:spacing w:line="240" w:lineRule="auto" w:before="60" w:after="60"/>
            </w:pPr>
            <w:r>
              <w:t>22.0%</w:t>
            </w:r>
          </w:p>
        </w:tc>
      </w:tr>
      <w:tr>
        <w:tc>
          <w:tcPr>
            <w:tcW w:type="dxa" w:w="2160"/>
            <w:vAlign w:val="center"/>
            <w:tcMar>
              <w:top w:w="60" w:type="dxa"/>
              <w:bottom w:w="60" w:type="dxa"/>
              <w:left w:w="120" w:type="dxa"/>
              <w:right w:w="120" w:type="dxa"/>
            </w:tcMar>
          </w:tcPr>
          <w:p>
            <w:pPr>
              <w:jc w:val="left"/>
              <w:spacing w:line="240" w:lineRule="auto" w:before="60" w:after="60"/>
            </w:pPr>
            <w:r>
              <w:t>人工智能</w:t>
            </w:r>
          </w:p>
        </w:tc>
        <w:tc>
          <w:tcPr>
            <w:tcW w:type="dxa" w:w="2160"/>
            <w:vAlign w:val="center"/>
            <w:tcMar>
              <w:top w:w="60" w:type="dxa"/>
              <w:bottom w:w="60" w:type="dxa"/>
              <w:left w:w="120" w:type="dxa"/>
              <w:right w:w="120" w:type="dxa"/>
            </w:tcMar>
          </w:tcPr>
          <w:p>
            <w:pPr>
              <w:jc w:val="center"/>
              <w:spacing w:line="240" w:lineRule="auto" w:before="60" w:after="60"/>
            </w:pPr>
            <w:r>
              <w:t>13.48</w:t>
            </w:r>
          </w:p>
        </w:tc>
        <w:tc>
          <w:tcPr>
            <w:tcW w:type="dxa" w:w="2160"/>
            <w:vAlign w:val="center"/>
            <w:tcMar>
              <w:top w:w="60" w:type="dxa"/>
              <w:bottom w:w="60" w:type="dxa"/>
              <w:left w:w="120" w:type="dxa"/>
              <w:right w:w="120" w:type="dxa"/>
            </w:tcMar>
          </w:tcPr>
          <w:p>
            <w:pPr>
              <w:jc w:val="center"/>
              <w:spacing w:line="240" w:lineRule="auto" w:before="60" w:after="60"/>
            </w:pPr>
            <w:r>
              <w:t>6.74</w:t>
            </w:r>
          </w:p>
        </w:tc>
        <w:tc>
          <w:tcPr>
            <w:tcW w:type="dxa" w:w="2160"/>
            <w:vAlign w:val="center"/>
            <w:tcMar>
              <w:top w:w="60" w:type="dxa"/>
              <w:bottom w:w="60" w:type="dxa"/>
              <w:left w:w="120" w:type="dxa"/>
              <w:right w:w="120" w:type="dxa"/>
            </w:tcMar>
          </w:tcPr>
          <w:p>
            <w:pPr>
              <w:jc w:val="center"/>
              <w:spacing w:line="240" w:lineRule="auto" w:before="60" w:after="60"/>
            </w:pPr>
            <w:r>
              <w:t>18.5%</w:t>
            </w:r>
          </w:p>
        </w:tc>
      </w:tr>
      <w:tr>
        <w:tc>
          <w:tcPr>
            <w:tcW w:type="dxa" w:w="2160"/>
            <w:vAlign w:val="center"/>
            <w:tcMar>
              <w:top w:w="60" w:type="dxa"/>
              <w:bottom w:w="60" w:type="dxa"/>
              <w:left w:w="120" w:type="dxa"/>
              <w:right w:w="120" w:type="dxa"/>
            </w:tcMar>
          </w:tcPr>
          <w:p>
            <w:pPr>
              <w:jc w:val="left"/>
              <w:spacing w:line="240" w:lineRule="auto" w:before="60" w:after="60"/>
            </w:pPr>
            <w:r>
              <w:t>云计算</w:t>
            </w:r>
          </w:p>
        </w:tc>
        <w:tc>
          <w:tcPr>
            <w:tcW w:type="dxa" w:w="2160"/>
            <w:vAlign w:val="center"/>
            <w:tcMar>
              <w:top w:w="60" w:type="dxa"/>
              <w:bottom w:w="60" w:type="dxa"/>
              <w:left w:w="120" w:type="dxa"/>
              <w:right w:w="120" w:type="dxa"/>
            </w:tcMar>
          </w:tcPr>
          <w:p>
            <w:pPr>
              <w:jc w:val="center"/>
              <w:spacing w:line="240" w:lineRule="auto" w:before="60" w:after="60"/>
            </w:pPr>
            <w:r>
              <w:t>11.69</w:t>
            </w:r>
          </w:p>
        </w:tc>
        <w:tc>
          <w:tcPr>
            <w:tcW w:type="dxa" w:w="2160"/>
            <w:vAlign w:val="center"/>
            <w:tcMar>
              <w:top w:w="60" w:type="dxa"/>
              <w:bottom w:w="60" w:type="dxa"/>
              <w:left w:w="120" w:type="dxa"/>
              <w:right w:w="120" w:type="dxa"/>
            </w:tcMar>
          </w:tcPr>
          <w:p>
            <w:pPr>
              <w:jc w:val="center"/>
              <w:spacing w:line="240" w:lineRule="auto" w:before="60" w:after="60"/>
            </w:pPr>
            <w:r>
              <w:t>5.92</w:t>
            </w:r>
          </w:p>
        </w:tc>
        <w:tc>
          <w:tcPr>
            <w:tcW w:type="dxa" w:w="2160"/>
            <w:vAlign w:val="center"/>
            <w:tcMar>
              <w:top w:w="60" w:type="dxa"/>
              <w:bottom w:w="60" w:type="dxa"/>
              <w:left w:w="120" w:type="dxa"/>
              <w:right w:w="120" w:type="dxa"/>
            </w:tcMar>
          </w:tcPr>
          <w:p>
            <w:pPr>
              <w:jc w:val="center"/>
              <w:spacing w:line="240" w:lineRule="auto" w:before="60" w:after="60"/>
            </w:pPr>
            <w:r>
              <w:t>16.1%</w:t>
            </w:r>
          </w:p>
        </w:tc>
      </w:tr>
      <w:tr>
        <w:tc>
          <w:tcPr>
            <w:tcW w:type="dxa" w:w="2160"/>
            <w:tcBorders>
              <w:bottom w:val="single" w:sz="12" w:space="0" w:color="333333"/>
            </w:tcBorders>
            <w:vAlign w:val="center"/>
            <w:tcMar>
              <w:top w:w="60" w:type="dxa"/>
              <w:bottom w:w="60" w:type="dxa"/>
              <w:left w:w="120" w:type="dxa"/>
              <w:right w:w="120" w:type="dxa"/>
            </w:tcMar>
          </w:tcPr>
          <w:p>
            <w:pPr>
              <w:jc w:val="left"/>
              <w:spacing w:line="240" w:lineRule="auto" w:before="60" w:after="60"/>
            </w:pPr>
            <w:r>
              <w:t>区块链</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7.73</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4.44</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10.9%</w:t>
            </w:r>
          </w:p>
        </w:tc>
      </w:tr>
    </w:tbl>
    <w:p>
      <w:pPr>
        <w:ind w:firstLine="480"/>
        <w:jc w:val="both"/>
      </w:pPr>
      <w:r>
        <w:rPr>
          <w:rFonts w:ascii="宋体" w:hAnsi="宋体" w:eastAsia="宋体" w:cs="宋体" w:hint="eastAsia"/>
          <w:lang w:eastAsia="zh-CN"/>
        </w:rPr>
        <w:t>分行业看，金融业</w:t>
      </w:r>
      <w:r>
        <w:rPr>
          <w:rFonts w:ascii="黑体" w:hAnsi="黑体"/>
        </w:rPr>
        <w:t>DT</w:t>
      </w:r>
      <w:r>
        <w:rPr>
          <w:rFonts w:ascii="宋体" w:hAnsi="宋体" w:eastAsia="宋体" w:cs="宋体" w:hint="eastAsia"/>
          <w:lang w:eastAsia="zh-CN"/>
        </w:rPr>
        <w:t>均值最高（</w:t>
      </w:r>
      <w:r>
        <w:rPr>
          <w:rFonts w:ascii="黑体" w:hAnsi="黑体"/>
        </w:rPr>
        <w:t>4.416</w:t>
      </w:r>
      <w:r>
        <w:rPr>
          <w:rFonts w:ascii="宋体" w:hAnsi="宋体" w:eastAsia="宋体" w:cs="宋体" w:hint="eastAsia"/>
          <w:lang w:eastAsia="zh-CN"/>
        </w:rPr>
        <w:t>），电力热力业（</w:t>
      </w:r>
      <w:r>
        <w:rPr>
          <w:rFonts w:ascii="黑体" w:hAnsi="黑体"/>
        </w:rPr>
        <w:t>4.293</w:t>
      </w:r>
      <w:r>
        <w:rPr>
          <w:rFonts w:ascii="宋体" w:hAnsi="宋体" w:eastAsia="宋体" w:cs="宋体" w:hint="eastAsia"/>
          <w:lang w:eastAsia="zh-CN"/>
        </w:rPr>
        <w:t>）、制造业（</w:t>
      </w:r>
      <w:r>
        <w:rPr>
          <w:rFonts w:ascii="黑体" w:hAnsi="黑体"/>
        </w:rPr>
        <w:t>4.230</w:t>
      </w:r>
      <w:r>
        <w:rPr>
          <w:rFonts w:ascii="宋体" w:hAnsi="宋体" w:eastAsia="宋体" w:cs="宋体" w:hint="eastAsia"/>
          <w:lang w:eastAsia="zh-CN"/>
        </w:rPr>
        <w:t>）次之，信息技术业均值最低（</w:t>
      </w:r>
      <w:r>
        <w:rPr>
          <w:rFonts w:ascii="黑体" w:hAnsi="黑体"/>
        </w:rPr>
        <w:t>4.123</w:t>
      </w:r>
      <w:r>
        <w:rPr>
          <w:rFonts w:ascii="宋体" w:hAnsi="宋体" w:eastAsia="宋体" w:cs="宋体" w:hint="eastAsia"/>
          <w:lang w:eastAsia="zh-CN"/>
        </w:rPr>
        <w:t>）。信息技术业均值不高并不意外：其一，样本中该行业企业数量有限；其二，信息技术企业年报更倾向以业务语言而非技术词汇叙述。行业间的排序仅作描述性参考，不外推为经验结论。</w:t>
      </w:r>
    </w:p>
    <w:p>
      <w:bookmarkStart w:id="35" w:name="_Toc_32____"/>
      <w:bookmarkStart w:id="13" w:name="32信度检验"/>
      <w:pPr>
        <w:pStyle w:val="Heading3"/>
      </w:pPr>
      <w:bookmarkEnd w:id="13"/>
      <w:r>
        <w:rPr>
          <w:rFonts w:ascii="宋体" w:hAnsi="宋体" w:eastAsia="宋体" w:cs="宋体" w:hint="eastAsia"/>
          <w:sz w:val="24"/>
          <w:lang w:eastAsia="zh-CN"/>
        </w:rPr>
        <w:t>3.2 信度检验</w:t>
      </w:r>
      <w:bookmarkEnd w:id="35"/>
    </w:p>
    <w:p>
      <w:pPr>
        <w:ind w:firstLine="480"/>
        <w:jc w:val="both"/>
      </w:pPr>
      <w:r>
        <w:rPr>
          <w:rFonts w:ascii="宋体" w:hAnsi="宋体" w:eastAsia="宋体" w:cs="宋体" w:hint="eastAsia"/>
          <w:lang w:eastAsia="zh-CN"/>
        </w:rPr>
        <w:t>信度反映测度的内部一致性与稳定性。本文从两个角度检验：</w:t>
      </w:r>
    </w:p>
    <w:p>
      <w:pPr>
        <w:ind w:firstLine="480"/>
        <w:jc w:val="both"/>
      </w:pPr>
      <w:r>
        <w:rPr>
          <w:rFonts w:ascii="宋体" w:hAnsi="宋体" w:eastAsia="宋体" w:cs="宋体" w:hint="eastAsia"/>
          <w:b/>
          <w:lang w:eastAsia="zh-CN"/>
        </w:rPr>
        <w:t>内部一致性信度。</w:t>
      </w:r>
      <w:r>
        <w:rPr>
          <w:rFonts w:ascii="黑体" w:hAnsi="黑体"/>
        </w:rPr>
        <w:t xml:space="preserve"> </w:t>
      </w:r>
      <w:r>
        <w:rPr>
          <w:rFonts w:ascii="宋体" w:hAnsi="宋体" w:eastAsia="宋体" w:cs="宋体" w:hint="eastAsia"/>
          <w:lang w:eastAsia="zh-CN"/>
        </w:rPr>
        <w:t>将五维词频视为测度的五个</w:t>
      </w:r>
      <w:r>
        <w:rPr>
          <w:rFonts w:ascii="黑体" w:hAnsi="黑体"/>
        </w:rPr>
        <w:t>"</w:t>
      </w:r>
      <w:r>
        <w:rPr>
          <w:rFonts w:ascii="宋体" w:hAnsi="宋体" w:eastAsia="宋体" w:cs="宋体" w:hint="eastAsia"/>
          <w:lang w:eastAsia="zh-CN"/>
        </w:rPr>
        <w:t>题项</w:t>
      </w:r>
      <w:r>
        <w:rPr>
          <w:rFonts w:ascii="黑体" w:hAnsi="黑体"/>
        </w:rPr>
        <w:t>"</w:t>
      </w:r>
      <w:r>
        <w:rPr>
          <w:rFonts w:ascii="宋体" w:hAnsi="宋体" w:eastAsia="宋体" w:cs="宋体" w:hint="eastAsia"/>
          <w:lang w:eastAsia="zh-CN"/>
        </w:rPr>
        <w:t>，计算</w:t>
      </w:r>
      <w:r>
        <w:rPr>
          <w:rFonts w:ascii="黑体" w:hAnsi="黑体"/>
        </w:rPr>
        <w:t>Cronbach's α</w:t>
      </w:r>
      <w:r>
        <w:rPr>
          <w:rFonts w:ascii="宋体" w:hAnsi="宋体" w:eastAsia="宋体" w:cs="宋体" w:hint="eastAsia"/>
          <w:lang w:eastAsia="zh-CN"/>
        </w:rPr>
        <w:t>系数为</w:t>
      </w:r>
      <w:r>
        <w:rPr>
          <w:rFonts w:ascii="黑体" w:hAnsi="黑体"/>
        </w:rPr>
        <w:t>0.706</w:t>
      </w:r>
      <w:r>
        <w:rPr>
          <w:rFonts w:ascii="宋体" w:hAnsi="宋体" w:eastAsia="宋体" w:cs="宋体" w:hint="eastAsia"/>
          <w:lang w:eastAsia="zh-CN"/>
        </w:rPr>
        <w:t>，达到</w:t>
      </w:r>
      <w:r>
        <w:rPr>
          <w:rFonts w:ascii="黑体" w:hAnsi="黑体"/>
        </w:rPr>
        <w:t>"</w:t>
      </w:r>
      <w:r>
        <w:rPr>
          <w:rFonts w:ascii="宋体" w:hAnsi="宋体" w:eastAsia="宋体" w:cs="宋体" w:hint="eastAsia"/>
          <w:lang w:eastAsia="zh-CN"/>
        </w:rPr>
        <w:t>可接受</w:t>
      </w:r>
      <w:r>
        <w:rPr>
          <w:rFonts w:ascii="黑体" w:hAnsi="黑体"/>
        </w:rPr>
        <w:t>"</w:t>
      </w:r>
      <w:r>
        <w:rPr>
          <w:rFonts w:ascii="宋体" w:hAnsi="宋体" w:eastAsia="宋体" w:cs="宋体" w:hint="eastAsia"/>
          <w:lang w:eastAsia="zh-CN"/>
        </w:rPr>
        <w:t>阈值（</w:t>
      </w:r>
      <w:r>
        <w:rPr>
          <w:rFonts w:ascii="黑体" w:hAnsi="黑体"/>
        </w:rPr>
        <w:t>α≥0.7</w:t>
      </w:r>
      <w:r>
        <w:rPr>
          <w:rFonts w:ascii="宋体" w:hAnsi="宋体" w:eastAsia="宋体" w:cs="宋体" w:hint="eastAsia"/>
          <w:lang w:eastAsia="zh-CN"/>
        </w:rPr>
        <w:t>）。这说明五个技术维度对</w:t>
      </w:r>
      <w:r>
        <w:rPr>
          <w:rFonts w:ascii="黑体" w:hAnsi="黑体"/>
        </w:rPr>
        <w:t>"</w:t>
      </w:r>
      <w:r>
        <w:rPr>
          <w:rFonts w:ascii="宋体" w:hAnsi="宋体" w:eastAsia="宋体" w:cs="宋体" w:hint="eastAsia"/>
          <w:lang w:eastAsia="zh-CN"/>
        </w:rPr>
        <w:t>数字化叙述</w:t>
      </w:r>
      <w:r>
        <w:rPr>
          <w:rFonts w:ascii="黑体" w:hAnsi="黑体"/>
        </w:rPr>
        <w:t>"</w:t>
      </w:r>
      <w:r>
        <w:rPr>
          <w:rFonts w:ascii="宋体" w:hAnsi="宋体" w:eastAsia="宋体" w:cs="宋体" w:hint="eastAsia"/>
          <w:lang w:eastAsia="zh-CN"/>
        </w:rPr>
        <w:t>这一潜在构念的测量方向一致，合成总词频具有内部一致性基础。</w:t>
      </w:r>
    </w:p>
    <w:p>
      <w:pPr>
        <w:ind w:firstLine="480"/>
        <w:jc w:val="both"/>
      </w:pPr>
      <w:r>
        <w:rPr>
          <w:rFonts w:ascii="宋体" w:hAnsi="宋体" w:eastAsia="宋体" w:cs="宋体" w:hint="eastAsia"/>
          <w:b/>
          <w:lang w:eastAsia="zh-CN"/>
        </w:rPr>
        <w:t>折半信度。</w:t>
      </w:r>
      <w:r>
        <w:rPr>
          <w:rFonts w:ascii="黑体" w:hAnsi="黑体"/>
        </w:rPr>
        <w:t xml:space="preserve"> </w:t>
      </w:r>
      <w:r>
        <w:rPr>
          <w:rFonts w:ascii="宋体" w:hAnsi="宋体" w:eastAsia="宋体" w:cs="宋体" w:hint="eastAsia"/>
          <w:lang w:eastAsia="zh-CN"/>
        </w:rPr>
        <w:t>将五个维度按序分为两半（前三维度之和与后两维度之和），两半得分的相关系数为</w:t>
      </w:r>
      <w:r>
        <w:rPr>
          <w:rFonts w:ascii="黑体" w:hAnsi="黑体"/>
        </w:rPr>
        <w:t>0.609</w:t>
      </w:r>
      <w:r>
        <w:rPr>
          <w:rFonts w:ascii="宋体" w:hAnsi="宋体" w:eastAsia="宋体" w:cs="宋体" w:hint="eastAsia"/>
          <w:lang w:eastAsia="zh-CN"/>
        </w:rPr>
        <w:t>，经斯皮尔曼</w:t>
      </w:r>
      <w:r>
        <w:rPr>
          <w:rFonts w:ascii="黑体" w:hAnsi="黑体"/>
        </w:rPr>
        <w:t>-</w:t>
      </w:r>
      <w:r>
        <w:rPr>
          <w:rFonts w:ascii="宋体" w:hAnsi="宋体" w:eastAsia="宋体" w:cs="宋体" w:hint="eastAsia"/>
          <w:lang w:eastAsia="zh-CN"/>
        </w:rPr>
        <w:t>布朗公式校正后折半信度为</w:t>
      </w:r>
      <w:r>
        <w:rPr>
          <w:rFonts w:ascii="黑体" w:hAnsi="黑体"/>
        </w:rPr>
        <w:t>0.757</w:t>
      </w:r>
      <w:r>
        <w:rPr>
          <w:rFonts w:ascii="宋体" w:hAnsi="宋体" w:eastAsia="宋体" w:cs="宋体" w:hint="eastAsia"/>
          <w:lang w:eastAsia="zh-CN"/>
        </w:rPr>
        <w:t>，超过</w:t>
      </w:r>
      <w:r>
        <w:rPr>
          <w:rFonts w:ascii="黑体" w:hAnsi="黑体"/>
        </w:rPr>
        <w:t>0.7</w:t>
      </w:r>
      <w:r>
        <w:rPr>
          <w:rFonts w:ascii="宋体" w:hAnsi="宋体" w:eastAsia="宋体" w:cs="宋体" w:hint="eastAsia"/>
          <w:lang w:eastAsia="zh-CN"/>
        </w:rPr>
        <w:t>的经验标准，支持测度的稳定性。</w:t>
      </w:r>
    </w:p>
    <w:p>
      <w:pPr>
        <w:ind w:firstLine="480"/>
        <w:jc w:val="both"/>
      </w:pPr>
      <w:r>
        <w:rPr>
          <w:rFonts w:ascii="宋体" w:hAnsi="宋体" w:eastAsia="宋体" w:cs="宋体" w:hint="eastAsia"/>
          <w:lang w:eastAsia="zh-CN"/>
        </w:rPr>
        <w:t>需要说明的是，词典法测度的信度上界受维度间天然相关性限制（如</w:t>
      </w:r>
      <w:r>
        <w:rPr>
          <w:rFonts w:ascii="黑体" w:hAnsi="黑体"/>
        </w:rPr>
        <w:t>"</w:t>
      </w:r>
      <w:r>
        <w:rPr>
          <w:rFonts w:ascii="宋体" w:hAnsi="宋体" w:eastAsia="宋体" w:cs="宋体" w:hint="eastAsia"/>
          <w:lang w:eastAsia="zh-CN"/>
        </w:rPr>
        <w:t>大数据</w:t>
      </w:r>
      <w:r>
        <w:rPr>
          <w:rFonts w:ascii="黑体" w:hAnsi="黑体"/>
        </w:rPr>
        <w:t>"</w:t>
      </w:r>
      <w:r>
        <w:rPr>
          <w:rFonts w:ascii="宋体" w:hAnsi="宋体" w:eastAsia="宋体" w:cs="宋体" w:hint="eastAsia"/>
          <w:lang w:eastAsia="zh-CN"/>
        </w:rPr>
        <w:t>与</w:t>
      </w:r>
      <w:r>
        <w:rPr>
          <w:rFonts w:ascii="黑体" w:hAnsi="黑体"/>
        </w:rPr>
        <w:t>"</w:t>
      </w:r>
      <w:r>
        <w:rPr>
          <w:rFonts w:ascii="宋体" w:hAnsi="宋体" w:eastAsia="宋体" w:cs="宋体" w:hint="eastAsia"/>
          <w:lang w:eastAsia="zh-CN"/>
        </w:rPr>
        <w:t>云计算</w:t>
      </w:r>
      <w:r>
        <w:rPr>
          <w:rFonts w:ascii="黑体" w:hAnsi="黑体"/>
        </w:rPr>
        <w:t>"</w:t>
      </w:r>
      <w:r>
        <w:rPr>
          <w:rFonts w:ascii="宋体" w:hAnsi="宋体" w:eastAsia="宋体" w:cs="宋体" w:hint="eastAsia"/>
          <w:lang w:eastAsia="zh-CN"/>
        </w:rPr>
        <w:t>在文本中常共现），</w:t>
      </w:r>
      <w:r>
        <w:rPr>
          <w:rFonts w:ascii="黑体" w:hAnsi="黑体"/>
        </w:rPr>
        <w:t>0.706—0.757</w:t>
      </w:r>
      <w:r>
        <w:rPr>
          <w:rFonts w:ascii="宋体" w:hAnsi="宋体" w:eastAsia="宋体" w:cs="宋体" w:hint="eastAsia"/>
          <w:lang w:eastAsia="zh-CN"/>
        </w:rPr>
        <w:t>的水平在文本测度中属于正常区间；若需进一步提升，可考虑删减低载荷关键词或提高维度间独立性，这将在稳健性部分讨论。</w:t>
      </w:r>
    </w:p>
    <w:p>
      <w:bookmarkStart w:id="36" w:name="_Toc_33____"/>
      <w:bookmarkStart w:id="14" w:name="33效度检验"/>
      <w:pPr>
        <w:pStyle w:val="Heading3"/>
      </w:pPr>
      <w:bookmarkEnd w:id="14"/>
      <w:r>
        <w:rPr>
          <w:rFonts w:ascii="宋体" w:hAnsi="宋体" w:eastAsia="宋体" w:cs="宋体" w:hint="eastAsia"/>
          <w:sz w:val="24"/>
          <w:lang w:eastAsia="zh-CN"/>
        </w:rPr>
        <w:t>3.3 效度检验</w:t>
      </w:r>
      <w:bookmarkEnd w:id="36"/>
    </w:p>
    <w:p>
      <w:pPr>
        <w:ind w:firstLine="480"/>
        <w:jc w:val="both"/>
      </w:pPr>
      <w:r>
        <w:rPr>
          <w:rFonts w:ascii="宋体" w:hAnsi="宋体" w:eastAsia="宋体" w:cs="宋体" w:hint="eastAsia"/>
          <w:lang w:eastAsia="zh-CN"/>
        </w:rPr>
        <w:t>效度反映测度是否真正测到了目标构念。本文采用</w:t>
      </w:r>
      <w:r>
        <w:rPr>
          <w:rFonts w:ascii="黑体" w:hAnsi="黑体"/>
        </w:rPr>
        <w:t>"</w:t>
      </w:r>
      <w:r>
        <w:rPr>
          <w:rFonts w:ascii="宋体" w:hAnsi="宋体" w:eastAsia="宋体" w:cs="宋体" w:hint="eastAsia"/>
          <w:lang w:eastAsia="zh-CN"/>
        </w:rPr>
        <w:t>同时效度</w:t>
      </w:r>
      <w:r>
        <w:rPr>
          <w:rFonts w:ascii="黑体" w:hAnsi="黑体"/>
        </w:rPr>
        <w:t>+</w:t>
      </w:r>
      <w:r>
        <w:rPr>
          <w:rFonts w:ascii="宋体" w:hAnsi="宋体" w:eastAsia="宋体" w:cs="宋体" w:hint="eastAsia"/>
          <w:lang w:eastAsia="zh-CN"/>
        </w:rPr>
        <w:t>已知组效度</w:t>
      </w:r>
      <w:r>
        <w:rPr>
          <w:rFonts w:ascii="黑体" w:hAnsi="黑体"/>
        </w:rPr>
        <w:t>"</w:t>
      </w:r>
      <w:r>
        <w:rPr>
          <w:rFonts w:ascii="宋体" w:hAnsi="宋体" w:eastAsia="宋体" w:cs="宋体" w:hint="eastAsia"/>
          <w:lang w:eastAsia="zh-CN"/>
        </w:rPr>
        <w:t>的组合证据：</w:t>
      </w:r>
    </w:p>
    <w:p>
      <w:pPr>
        <w:ind w:firstLine="480"/>
        <w:jc w:val="both"/>
      </w:pPr>
      <w:r>
        <w:rPr>
          <w:rFonts w:ascii="宋体" w:hAnsi="宋体" w:eastAsia="宋体" w:cs="宋体" w:hint="eastAsia"/>
          <w:b/>
          <w:lang w:eastAsia="zh-CN"/>
        </w:rPr>
        <w:t>同时效度。</w:t>
      </w:r>
      <w:r>
        <w:rPr>
          <w:rFonts w:ascii="黑体" w:hAnsi="黑体"/>
        </w:rPr>
        <w:t xml:space="preserve"> </w:t>
      </w:r>
      <w:r>
        <w:rPr>
          <w:rFonts w:ascii="宋体" w:hAnsi="宋体" w:eastAsia="宋体" w:cs="宋体" w:hint="eastAsia"/>
          <w:lang w:eastAsia="zh-CN"/>
        </w:rPr>
        <w:t>理论上，研发投入越高的企业数字化技术储备与叙述越丰富。实证上，</w:t>
      </w:r>
      <w:r>
        <w:rPr>
          <w:rFonts w:ascii="黑体" w:hAnsi="黑体"/>
        </w:rPr>
        <w:t>DT</w:t>
      </w:r>
      <w:r>
        <w:rPr>
          <w:rFonts w:ascii="宋体" w:hAnsi="宋体" w:eastAsia="宋体" w:cs="宋体" w:hint="eastAsia"/>
          <w:lang w:eastAsia="zh-CN"/>
        </w:rPr>
        <w:t>与研发强度</w:t>
      </w:r>
      <w:r>
        <w:rPr>
          <w:rFonts w:ascii="黑体" w:hAnsi="黑体"/>
        </w:rPr>
        <w:t>RD</w:t>
      </w:r>
      <w:r>
        <w:rPr>
          <w:rFonts w:ascii="宋体" w:hAnsi="宋体" w:eastAsia="宋体" w:cs="宋体" w:hint="eastAsia"/>
          <w:lang w:eastAsia="zh-CN"/>
        </w:rPr>
        <w:t>的</w:t>
      </w:r>
      <w:r>
        <w:rPr>
          <w:rFonts w:ascii="黑体" w:hAnsi="黑体"/>
        </w:rPr>
        <w:t>Pearson</w:t>
      </w:r>
      <w:r>
        <w:rPr>
          <w:rFonts w:ascii="宋体" w:hAnsi="宋体" w:eastAsia="宋体" w:cs="宋体" w:hint="eastAsia"/>
          <w:lang w:eastAsia="zh-CN"/>
        </w:rPr>
        <w:t>相关系数为</w:t>
      </w:r>
      <w:r>
        <w:rPr>
          <w:rFonts w:ascii="黑体" w:hAnsi="黑体"/>
        </w:rPr>
        <w:t>0.570</w:t>
      </w:r>
      <w:r>
        <w:rPr>
          <w:rFonts w:ascii="宋体" w:hAnsi="宋体" w:eastAsia="宋体" w:cs="宋体" w:hint="eastAsia"/>
          <w:lang w:eastAsia="zh-CN"/>
        </w:rPr>
        <w:t>（</w:t>
      </w:r>
      <w:r>
        <w:rPr>
          <w:rFonts w:ascii="黑体" w:hAnsi="黑体"/>
        </w:rPr>
        <w:t>p&lt;0.001</w:t>
      </w:r>
      <w:r>
        <w:rPr>
          <w:rFonts w:ascii="宋体" w:hAnsi="宋体" w:eastAsia="宋体" w:cs="宋体" w:hint="eastAsia"/>
          <w:lang w:eastAsia="zh-CN"/>
        </w:rPr>
        <w:t>），呈中高度正相关，符合理论预期，支持测度的同时效度。</w:t>
      </w:r>
    </w:p>
    <w:p>
      <w:pPr>
        <w:ind w:firstLine="480"/>
        <w:jc w:val="both"/>
      </w:pPr>
      <w:r>
        <w:rPr>
          <w:rFonts w:ascii="宋体" w:hAnsi="宋体" w:eastAsia="宋体" w:cs="宋体" w:hint="eastAsia"/>
          <w:b/>
          <w:lang w:eastAsia="zh-CN"/>
        </w:rPr>
        <w:t>已知组效度。</w:t>
      </w:r>
      <w:r>
        <w:rPr>
          <w:rFonts w:ascii="黑体" w:hAnsi="黑体"/>
        </w:rPr>
        <w:t xml:space="preserve"> </w:t>
      </w:r>
      <w:r>
        <w:rPr>
          <w:rFonts w:ascii="宋体" w:hAnsi="宋体" w:eastAsia="宋体" w:cs="宋体" w:hint="eastAsia"/>
          <w:lang w:eastAsia="zh-CN"/>
        </w:rPr>
        <w:t>若测度有效，则在已知应存在差异的分组间应观察到显著差异。以研发强度中位数为界划分高低两组：高研发组</w:t>
      </w:r>
      <w:r>
        <w:rPr>
          <w:rFonts w:ascii="黑体" w:hAnsi="黑体"/>
        </w:rPr>
        <w:t>DT</w:t>
      </w:r>
      <w:r>
        <w:rPr>
          <w:rFonts w:ascii="宋体" w:hAnsi="宋体" w:eastAsia="宋体" w:cs="宋体" w:hint="eastAsia"/>
          <w:lang w:eastAsia="zh-CN"/>
        </w:rPr>
        <w:t>均值为</w:t>
      </w:r>
      <w:r>
        <w:rPr>
          <w:rFonts w:ascii="黑体" w:hAnsi="黑体"/>
        </w:rPr>
        <w:t>4.430</w:t>
      </w:r>
      <w:r>
        <w:rPr>
          <w:rFonts w:ascii="宋体" w:hAnsi="宋体" w:eastAsia="宋体" w:cs="宋体" w:hint="eastAsia"/>
          <w:lang w:eastAsia="zh-CN"/>
        </w:rPr>
        <w:t>，低研发组为</w:t>
      </w:r>
      <w:r>
        <w:rPr>
          <w:rFonts w:ascii="黑体" w:hAnsi="黑体"/>
        </w:rPr>
        <w:t>4.047</w:t>
      </w:r>
      <w:r>
        <w:rPr>
          <w:rFonts w:ascii="宋体" w:hAnsi="宋体" w:eastAsia="宋体" w:cs="宋体" w:hint="eastAsia"/>
          <w:lang w:eastAsia="zh-CN"/>
        </w:rPr>
        <w:t>，组间差</w:t>
      </w:r>
      <w:r>
        <w:rPr>
          <w:rFonts w:ascii="黑体" w:hAnsi="黑体"/>
        </w:rPr>
        <w:t>0.383</w:t>
      </w:r>
      <w:r>
        <w:rPr>
          <w:rFonts w:ascii="宋体" w:hAnsi="宋体" w:eastAsia="宋体" w:cs="宋体" w:hint="eastAsia"/>
          <w:lang w:eastAsia="zh-CN"/>
        </w:rPr>
        <w:t>，约为合并标准差（</w:t>
      </w:r>
      <w:r>
        <w:rPr>
          <w:rFonts w:ascii="黑体" w:hAnsi="黑体"/>
        </w:rPr>
        <w:t>0.376</w:t>
      </w:r>
      <w:r>
        <w:rPr>
          <w:rFonts w:ascii="宋体" w:hAnsi="宋体" w:eastAsia="宋体" w:cs="宋体" w:hint="eastAsia"/>
          <w:lang w:eastAsia="zh-CN"/>
        </w:rPr>
        <w:t>）的</w:t>
      </w:r>
      <w:r>
        <w:rPr>
          <w:rFonts w:ascii="黑体" w:hAnsi="黑体"/>
        </w:rPr>
        <w:t>1.02</w:t>
      </w:r>
      <w:r>
        <w:rPr>
          <w:rFonts w:ascii="宋体" w:hAnsi="宋体" w:eastAsia="宋体" w:cs="宋体" w:hint="eastAsia"/>
          <w:lang w:eastAsia="zh-CN"/>
        </w:rPr>
        <w:t>倍，按两独立样本</w:t>
      </w:r>
      <w:r>
        <w:rPr>
          <w:rFonts w:ascii="黑体" w:hAnsi="黑体"/>
        </w:rPr>
        <w:t>t</w:t>
      </w:r>
      <w:r>
        <w:rPr>
          <w:rFonts w:ascii="宋体" w:hAnsi="宋体" w:eastAsia="宋体" w:cs="宋体" w:hint="eastAsia"/>
          <w:lang w:eastAsia="zh-CN"/>
        </w:rPr>
        <w:t>检验的标准属于显著差异。此外，</w:t>
      </w:r>
      <w:r>
        <w:rPr>
          <w:rFonts w:ascii="黑体" w:hAnsi="黑体"/>
        </w:rPr>
        <w:t>DT</w:t>
      </w:r>
      <w:r>
        <w:rPr>
          <w:rFonts w:ascii="宋体" w:hAnsi="宋体" w:eastAsia="宋体" w:cs="宋体" w:hint="eastAsia"/>
          <w:lang w:eastAsia="zh-CN"/>
        </w:rPr>
        <w:t>的年度单调递增模式也与</w:t>
      </w:r>
      <w:r>
        <w:rPr>
          <w:rFonts w:ascii="黑体" w:hAnsi="黑体"/>
        </w:rPr>
        <w:t>"</w:t>
      </w:r>
      <w:r>
        <w:rPr>
          <w:rFonts w:ascii="宋体" w:hAnsi="宋体" w:eastAsia="宋体" w:cs="宋体" w:hint="eastAsia"/>
          <w:lang w:eastAsia="zh-CN"/>
        </w:rPr>
        <w:t>数字化趋势逐年增强</w:t>
      </w:r>
      <w:r>
        <w:rPr>
          <w:rFonts w:ascii="黑体" w:hAnsi="黑体"/>
        </w:rPr>
        <w:t>"</w:t>
      </w:r>
      <w:r>
        <w:rPr>
          <w:rFonts w:ascii="宋体" w:hAnsi="宋体" w:eastAsia="宋体" w:cs="宋体" w:hint="eastAsia"/>
          <w:lang w:eastAsia="zh-CN"/>
        </w:rPr>
        <w:t>的先验一致，构成时间维度上的已知组证据。</w:t>
      </w:r>
    </w:p>
    <w:p>
      <w:pPr>
        <w:ind w:firstLine="480"/>
        <w:jc w:val="both"/>
      </w:pPr>
      <w:r>
        <w:rPr>
          <w:rFonts w:ascii="宋体" w:hAnsi="宋体" w:eastAsia="宋体" w:cs="宋体" w:hint="eastAsia"/>
          <w:lang w:eastAsia="zh-CN"/>
        </w:rPr>
        <w:t>综上，</w:t>
      </w:r>
      <w:r>
        <w:rPr>
          <w:rFonts w:ascii="黑体" w:hAnsi="黑体"/>
        </w:rPr>
        <w:t>DT</w:t>
      </w:r>
      <w:r>
        <w:rPr>
          <w:rFonts w:ascii="宋体" w:hAnsi="宋体" w:eastAsia="宋体" w:cs="宋体" w:hint="eastAsia"/>
          <w:lang w:eastAsia="zh-CN"/>
        </w:rPr>
        <w:t>在收敛效度（与理论关联变量相关）与区分效度（已知组可区分）两个层面均获得支持。</w:t>
      </w:r>
    </w:p>
    <w:p>
      <w:bookmarkStart w:id="37" w:name="_Toc_34____"/>
      <w:bookmarkStart w:id="15" w:name="34回归分析"/>
      <w:pPr>
        <w:pStyle w:val="Heading3"/>
      </w:pPr>
      <w:bookmarkEnd w:id="15"/>
      <w:r>
        <w:rPr>
          <w:rFonts w:ascii="宋体" w:hAnsi="宋体" w:eastAsia="宋体" w:cs="宋体" w:hint="eastAsia"/>
          <w:sz w:val="24"/>
          <w:lang w:eastAsia="zh-CN"/>
        </w:rPr>
        <w:t>3.4 回归分析</w:t>
      </w:r>
      <w:bookmarkEnd w:id="37"/>
    </w:p>
    <w:p>
      <w:pPr>
        <w:ind w:firstLine="480"/>
        <w:jc w:val="both"/>
      </w:pPr>
      <w:r>
        <w:rPr>
          <w:rFonts w:ascii="宋体" w:hAnsi="宋体" w:eastAsia="宋体" w:cs="宋体" w:hint="eastAsia"/>
          <w:lang w:eastAsia="zh-CN"/>
        </w:rPr>
        <w:t>为检验测度与经济变量之间的关系是否符合既有理论，本文以</w:t>
      </w:r>
      <w:r>
        <w:rPr>
          <w:rFonts w:ascii="黑体" w:hAnsi="黑体"/>
        </w:rPr>
        <w:t>DT</w:t>
      </w:r>
      <w:r>
        <w:rPr>
          <w:rFonts w:ascii="宋体" w:hAnsi="宋体" w:eastAsia="宋体" w:cs="宋体" w:hint="eastAsia"/>
          <w:lang w:eastAsia="zh-CN"/>
        </w:rPr>
        <w:t>为被解释变量，以下列模型进行</w:t>
      </w:r>
      <w:r>
        <w:rPr>
          <w:rFonts w:ascii="黑体" w:hAnsi="黑体"/>
        </w:rPr>
        <w:t>OLS</w:t>
      </w:r>
      <w:r>
        <w:rPr>
          <w:rFonts w:ascii="宋体" w:hAnsi="宋体" w:eastAsia="宋体" w:cs="宋体" w:hint="eastAsia"/>
          <w:lang w:eastAsia="zh-CN"/>
        </w:rPr>
        <w:t>回归：</w:t>
      </w:r>
    </w:p>
    <w:p>
      <w:pPr>
        <w:ind w:firstLine="480"/>
        <w:jc w:val="both"/>
      </w:pPr>
      <w:r>
        <w:rPr>
          <w:rFonts w:ascii="黑体" w:hAnsi="黑体"/>
        </w:rPr>
        <w:t>DT_it = α + β1·Size_it + β2·Lev_it + β3·ROA_it + β4·RD_it + ΣYear + ΣIndustry + ε_it</w:t>
      </w:r>
    </w:p>
    <w:p>
      <w:pPr>
        <w:ind w:firstLine="480"/>
        <w:jc w:val="both"/>
      </w:pPr>
      <w:r>
        <w:rPr>
          <w:rFonts w:ascii="宋体" w:hAnsi="宋体" w:eastAsia="宋体" w:cs="宋体" w:hint="eastAsia"/>
          <w:lang w:eastAsia="zh-CN"/>
        </w:rPr>
        <w:t>样本为</w:t>
      </w:r>
      <w:r>
        <w:rPr>
          <w:rFonts w:ascii="黑体" w:hAnsi="黑体"/>
        </w:rPr>
        <w:t>300</w:t>
      </w:r>
      <w:r>
        <w:rPr>
          <w:rFonts w:ascii="宋体" w:hAnsi="宋体" w:eastAsia="宋体" w:cs="宋体" w:hint="eastAsia"/>
          <w:lang w:eastAsia="zh-CN"/>
        </w:rPr>
        <w:t>个企业</w:t>
      </w:r>
      <w:r>
        <w:rPr>
          <w:rFonts w:ascii="黑体" w:hAnsi="黑体"/>
        </w:rPr>
        <w:t>—</w:t>
      </w:r>
      <w:r>
        <w:rPr>
          <w:rFonts w:ascii="宋体" w:hAnsi="宋体" w:eastAsia="宋体" w:cs="宋体" w:hint="eastAsia"/>
          <w:lang w:eastAsia="zh-CN"/>
        </w:rPr>
        <w:t>年度观测，回归结果见表</w:t>
      </w:r>
      <w:r>
        <w:rPr>
          <w:rFonts w:ascii="黑体" w:hAnsi="黑体"/>
        </w:rPr>
        <w:t>4</w:t>
      </w:r>
      <w:r>
        <w:rPr>
          <w:rFonts w:ascii="宋体" w:hAnsi="宋体" w:eastAsia="宋体" w:cs="宋体" w:hint="eastAsia"/>
          <w:lang w:eastAsia="zh-CN"/>
        </w:rPr>
        <w:t>（括号内为</w:t>
      </w:r>
      <w:r>
        <w:rPr>
          <w:rFonts w:ascii="黑体" w:hAnsi="黑体"/>
        </w:rPr>
        <w:t>t</w:t>
      </w:r>
      <w:r>
        <w:rPr>
          <w:rFonts w:ascii="宋体" w:hAnsi="宋体" w:eastAsia="宋体" w:cs="宋体" w:hint="eastAsia"/>
          <w:lang w:eastAsia="zh-CN"/>
        </w:rPr>
        <w:t>值）。</w:t>
      </w:r>
    </w:p>
    <w:p>
      <w:pPr>
        <w:ind w:firstLine="480"/>
        <w:jc w:val="both"/>
      </w:pPr>
      <w:r>
        <w:rPr>
          <w:rFonts w:ascii="宋体" w:hAnsi="宋体" w:eastAsia="宋体" w:cs="宋体" w:hint="eastAsia"/>
          <w:lang w:eastAsia="zh-CN"/>
        </w:rPr>
        <w:t>表</w:t>
      </w:r>
      <w:r>
        <w:rPr>
          <w:rFonts w:ascii="黑体" w:hAnsi="黑体"/>
        </w:rPr>
        <w:t xml:space="preserve">4 </w:t>
      </w:r>
      <w:r>
        <w:rPr>
          <w:rFonts w:ascii="宋体" w:hAnsi="宋体" w:eastAsia="宋体" w:cs="宋体" w:hint="eastAsia"/>
          <w:lang w:eastAsia="zh-CN"/>
        </w:rPr>
        <w:t>回归结果（因变量：</w:t>
      </w:r>
      <w:r>
        <w:rPr>
          <w:rFonts w:ascii="黑体" w:hAnsi="黑体"/>
        </w:rPr>
        <w:t>DT</w:t>
      </w:r>
      <w:r>
        <w:rPr>
          <w:rFonts w:ascii="宋体" w:hAnsi="宋体" w:eastAsia="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变量</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系数</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t</w:t>
            </w:r>
            <w:r>
              <w:rPr>
                <w:rFonts w:ascii="黑体" w:hAnsi="黑体" w:eastAsia="黑体" w:hint="eastAsia"/>
                <w:b/>
              </w:rPr>
              <w:t xml:space="preserve"> </w:t>
            </w:r>
            <w:r>
              <w:rPr>
                <w:rFonts w:ascii="黑体" w:hAnsi="黑体" w:eastAsia="黑体" w:hint="eastAsia"/>
                <w:b/>
              </w:rPr>
              <w:t>值</w:t>
            </w:r>
          </w:p>
        </w:tc>
        <w:tc>
          <w:tcPr>
            <w:tcW w:type="dxa" w:w="216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p</w:t>
            </w:r>
            <w:r>
              <w:rPr>
                <w:rFonts w:ascii="黑体" w:hAnsi="黑体" w:eastAsia="黑体" w:hint="eastAsia"/>
                <w:b/>
              </w:rPr>
              <w:t xml:space="preserve"> </w:t>
            </w:r>
            <w:r>
              <w:rPr>
                <w:rFonts w:ascii="黑体" w:hAnsi="黑体" w:eastAsia="黑体" w:hint="eastAsia"/>
                <w:b/>
              </w:rPr>
              <w:t>值</w:t>
            </w:r>
          </w:p>
        </w:tc>
      </w:tr>
      <w:tr>
        <w:tc>
          <w:tcPr>
            <w:tcW w:type="dxa" w:w="2160"/>
            <w:vAlign w:val="center"/>
            <w:tcMar>
              <w:top w:w="60" w:type="dxa"/>
              <w:bottom w:w="60" w:type="dxa"/>
              <w:left w:w="120" w:type="dxa"/>
              <w:right w:w="120" w:type="dxa"/>
            </w:tcMar>
          </w:tcPr>
          <w:p>
            <w:pPr>
              <w:jc w:val="left"/>
              <w:spacing w:line="240" w:lineRule="auto" w:before="60" w:after="60"/>
            </w:pPr>
            <w:r>
              <w:t>Size</w:t>
            </w:r>
          </w:p>
        </w:tc>
        <w:tc>
          <w:tcPr>
            <w:tcW w:type="dxa" w:w="2160"/>
            <w:vAlign w:val="center"/>
            <w:tcMar>
              <w:top w:w="60" w:type="dxa"/>
              <w:bottom w:w="60" w:type="dxa"/>
              <w:left w:w="120" w:type="dxa"/>
              <w:right w:w="120" w:type="dxa"/>
            </w:tcMar>
          </w:tcPr>
          <w:p>
            <w:pPr>
              <w:jc w:val="center"/>
              <w:spacing w:line="240" w:lineRule="auto" w:before="60" w:after="60"/>
            </w:pPr>
            <w:r>
              <w:t>0.169***</w:t>
            </w:r>
          </w:p>
        </w:tc>
        <w:tc>
          <w:tcPr>
            <w:tcW w:type="dxa" w:w="2160"/>
            <w:vAlign w:val="center"/>
            <w:tcMar>
              <w:top w:w="60" w:type="dxa"/>
              <w:bottom w:w="60" w:type="dxa"/>
              <w:left w:w="120" w:type="dxa"/>
              <w:right w:w="120" w:type="dxa"/>
            </w:tcMar>
          </w:tcPr>
          <w:p>
            <w:pPr>
              <w:jc w:val="center"/>
              <w:spacing w:line="240" w:lineRule="auto" w:before="60" w:after="60"/>
            </w:pPr>
            <w:r>
              <w:t>23.19</w:t>
            </w:r>
          </w:p>
        </w:tc>
        <w:tc>
          <w:tcPr>
            <w:tcW w:type="dxa" w:w="2160"/>
            <w:vAlign w:val="center"/>
            <w:tcMar>
              <w:top w:w="60" w:type="dxa"/>
              <w:bottom w:w="60" w:type="dxa"/>
              <w:left w:w="120" w:type="dxa"/>
              <w:right w:w="120" w:type="dxa"/>
            </w:tcMar>
          </w:tcPr>
          <w:p>
            <w:pPr>
              <w:jc w:val="center"/>
              <w:spacing w:line="240" w:lineRule="auto" w:before="60" w:after="60"/>
            </w:pPr>
            <w:r>
              <w:t>0.000</w:t>
            </w:r>
          </w:p>
        </w:tc>
      </w:tr>
      <w:tr>
        <w:tc>
          <w:tcPr>
            <w:tcW w:type="dxa" w:w="2160"/>
            <w:vAlign w:val="center"/>
            <w:tcMar>
              <w:top w:w="60" w:type="dxa"/>
              <w:bottom w:w="60" w:type="dxa"/>
              <w:left w:w="120" w:type="dxa"/>
              <w:right w:w="120" w:type="dxa"/>
            </w:tcMar>
          </w:tcPr>
          <w:p>
            <w:pPr>
              <w:jc w:val="left"/>
              <w:spacing w:line="240" w:lineRule="auto" w:before="60" w:after="60"/>
            </w:pPr>
            <w:r>
              <w:t>RD</w:t>
            </w:r>
          </w:p>
        </w:tc>
        <w:tc>
          <w:tcPr>
            <w:tcW w:type="dxa" w:w="2160"/>
            <w:vAlign w:val="center"/>
            <w:tcMar>
              <w:top w:w="60" w:type="dxa"/>
              <w:bottom w:w="60" w:type="dxa"/>
              <w:left w:w="120" w:type="dxa"/>
              <w:right w:w="120" w:type="dxa"/>
            </w:tcMar>
          </w:tcPr>
          <w:p>
            <w:pPr>
              <w:jc w:val="center"/>
              <w:spacing w:line="240" w:lineRule="auto" w:before="60" w:after="60"/>
            </w:pPr>
            <w:r>
              <w:t>6.033***</w:t>
            </w:r>
          </w:p>
        </w:tc>
        <w:tc>
          <w:tcPr>
            <w:tcW w:type="dxa" w:w="2160"/>
            <w:vAlign w:val="center"/>
            <w:tcMar>
              <w:top w:w="60" w:type="dxa"/>
              <w:bottom w:w="60" w:type="dxa"/>
              <w:left w:w="120" w:type="dxa"/>
              <w:right w:w="120" w:type="dxa"/>
            </w:tcMar>
          </w:tcPr>
          <w:p>
            <w:pPr>
              <w:jc w:val="center"/>
              <w:spacing w:line="240" w:lineRule="auto" w:before="60" w:after="60"/>
            </w:pPr>
            <w:r>
              <w:t>20.77</w:t>
            </w:r>
          </w:p>
        </w:tc>
        <w:tc>
          <w:tcPr>
            <w:tcW w:type="dxa" w:w="2160"/>
            <w:vAlign w:val="center"/>
            <w:tcMar>
              <w:top w:w="60" w:type="dxa"/>
              <w:bottom w:w="60" w:type="dxa"/>
              <w:left w:w="120" w:type="dxa"/>
              <w:right w:w="120" w:type="dxa"/>
            </w:tcMar>
          </w:tcPr>
          <w:p>
            <w:pPr>
              <w:jc w:val="center"/>
              <w:spacing w:line="240" w:lineRule="auto" w:before="60" w:after="60"/>
            </w:pPr>
            <w:r>
              <w:t>0.000</w:t>
            </w:r>
          </w:p>
        </w:tc>
      </w:tr>
      <w:tr>
        <w:tc>
          <w:tcPr>
            <w:tcW w:type="dxa" w:w="2160"/>
            <w:vAlign w:val="center"/>
            <w:tcMar>
              <w:top w:w="60" w:type="dxa"/>
              <w:bottom w:w="60" w:type="dxa"/>
              <w:left w:w="120" w:type="dxa"/>
              <w:right w:w="120" w:type="dxa"/>
            </w:tcMar>
          </w:tcPr>
          <w:p>
            <w:pPr>
              <w:jc w:val="left"/>
              <w:spacing w:line="240" w:lineRule="auto" w:before="60" w:after="60"/>
            </w:pPr>
            <w:r>
              <w:t>Lev</w:t>
            </w:r>
          </w:p>
        </w:tc>
        <w:tc>
          <w:tcPr>
            <w:tcW w:type="dxa" w:w="2160"/>
            <w:vAlign w:val="center"/>
            <w:tcMar>
              <w:top w:w="60" w:type="dxa"/>
              <w:bottom w:w="60" w:type="dxa"/>
              <w:left w:w="120" w:type="dxa"/>
              <w:right w:w="120" w:type="dxa"/>
            </w:tcMar>
          </w:tcPr>
          <w:p>
            <w:pPr>
              <w:jc w:val="center"/>
              <w:spacing w:line="240" w:lineRule="auto" w:before="60" w:after="60"/>
            </w:pPr>
            <w:r>
              <w:t>-0.140***</w:t>
            </w:r>
          </w:p>
        </w:tc>
        <w:tc>
          <w:tcPr>
            <w:tcW w:type="dxa" w:w="2160"/>
            <w:vAlign w:val="center"/>
            <w:tcMar>
              <w:top w:w="60" w:type="dxa"/>
              <w:bottom w:w="60" w:type="dxa"/>
              <w:left w:w="120" w:type="dxa"/>
              <w:right w:w="120" w:type="dxa"/>
            </w:tcMar>
          </w:tcPr>
          <w:p>
            <w:pPr>
              <w:jc w:val="center"/>
              <w:spacing w:line="240" w:lineRule="auto" w:before="60" w:after="60"/>
            </w:pPr>
            <w:r>
              <w:t>-2.59</w:t>
            </w:r>
          </w:p>
        </w:tc>
        <w:tc>
          <w:tcPr>
            <w:tcW w:type="dxa" w:w="2160"/>
            <w:vAlign w:val="center"/>
            <w:tcMar>
              <w:top w:w="60" w:type="dxa"/>
              <w:bottom w:w="60" w:type="dxa"/>
              <w:left w:w="120" w:type="dxa"/>
              <w:right w:w="120" w:type="dxa"/>
            </w:tcMar>
          </w:tcPr>
          <w:p>
            <w:pPr>
              <w:jc w:val="center"/>
              <w:spacing w:line="240" w:lineRule="auto" w:before="60" w:after="60"/>
            </w:pPr>
            <w:r>
              <w:t>0.010</w:t>
            </w:r>
          </w:p>
        </w:tc>
      </w:tr>
      <w:tr>
        <w:tc>
          <w:tcPr>
            <w:tcW w:type="dxa" w:w="2160"/>
            <w:vAlign w:val="center"/>
            <w:tcMar>
              <w:top w:w="60" w:type="dxa"/>
              <w:bottom w:w="60" w:type="dxa"/>
              <w:left w:w="120" w:type="dxa"/>
              <w:right w:w="120" w:type="dxa"/>
            </w:tcMar>
          </w:tcPr>
          <w:p>
            <w:pPr>
              <w:jc w:val="left"/>
              <w:spacing w:line="240" w:lineRule="auto" w:before="60" w:after="60"/>
            </w:pPr>
            <w:r>
              <w:t>ROA</w:t>
            </w:r>
          </w:p>
        </w:tc>
        <w:tc>
          <w:tcPr>
            <w:tcW w:type="dxa" w:w="2160"/>
            <w:vAlign w:val="center"/>
            <w:tcMar>
              <w:top w:w="60" w:type="dxa"/>
              <w:bottom w:w="60" w:type="dxa"/>
              <w:left w:w="120" w:type="dxa"/>
              <w:right w:w="120" w:type="dxa"/>
            </w:tcMar>
          </w:tcPr>
          <w:p>
            <w:pPr>
              <w:jc w:val="center"/>
              <w:spacing w:line="240" w:lineRule="auto" w:before="60" w:after="60"/>
            </w:pPr>
            <w:r>
              <w:t>-0.074</w:t>
            </w:r>
          </w:p>
        </w:tc>
        <w:tc>
          <w:tcPr>
            <w:tcW w:type="dxa" w:w="2160"/>
            <w:vAlign w:val="center"/>
            <w:tcMar>
              <w:top w:w="60" w:type="dxa"/>
              <w:bottom w:w="60" w:type="dxa"/>
              <w:left w:w="120" w:type="dxa"/>
              <w:right w:w="120" w:type="dxa"/>
            </w:tcMar>
          </w:tcPr>
          <w:p>
            <w:pPr>
              <w:jc w:val="center"/>
              <w:spacing w:line="240" w:lineRule="auto" w:before="60" w:after="60"/>
            </w:pPr>
            <w:r>
              <w:t>-0.39</w:t>
            </w:r>
          </w:p>
        </w:tc>
        <w:tc>
          <w:tcPr>
            <w:tcW w:type="dxa" w:w="2160"/>
            <w:vAlign w:val="center"/>
            <w:tcMar>
              <w:top w:w="60" w:type="dxa"/>
              <w:bottom w:w="60" w:type="dxa"/>
              <w:left w:w="120" w:type="dxa"/>
              <w:right w:w="120" w:type="dxa"/>
            </w:tcMar>
          </w:tcPr>
          <w:p>
            <w:pPr>
              <w:jc w:val="center"/>
              <w:spacing w:line="240" w:lineRule="auto" w:before="60" w:after="60"/>
            </w:pPr>
            <w:r>
              <w:t>0.696</w:t>
            </w:r>
          </w:p>
        </w:tc>
      </w:tr>
      <w:tr>
        <w:tc>
          <w:tcPr>
            <w:tcW w:type="dxa" w:w="2160"/>
            <w:vAlign w:val="center"/>
            <w:tcMar>
              <w:top w:w="60" w:type="dxa"/>
              <w:bottom w:w="60" w:type="dxa"/>
              <w:left w:w="120" w:type="dxa"/>
              <w:right w:w="120" w:type="dxa"/>
            </w:tcMar>
          </w:tcPr>
          <w:p>
            <w:pPr>
              <w:jc w:val="left"/>
              <w:spacing w:line="240" w:lineRule="auto" w:before="60" w:after="60"/>
            </w:pPr>
            <w:r>
              <w:t>年份固定效应</w:t>
            </w:r>
          </w:p>
        </w:tc>
        <w:tc>
          <w:tcPr>
            <w:tcW w:type="dxa" w:w="2160"/>
            <w:vAlign w:val="center"/>
            <w:tcMar>
              <w:top w:w="60" w:type="dxa"/>
              <w:bottom w:w="60" w:type="dxa"/>
              <w:left w:w="120" w:type="dxa"/>
              <w:right w:w="120" w:type="dxa"/>
            </w:tcMar>
          </w:tcPr>
          <w:p>
            <w:pPr>
              <w:jc w:val="center"/>
              <w:spacing w:line="240" w:lineRule="auto" w:before="60" w:after="60"/>
            </w:pPr>
            <w:r>
              <w:t>控制（</w:t>
            </w:r>
            <w:r>
              <w:t xml:space="preserve"> </w:t>
            </w:r>
            <w:r>
              <w:t>2019</w:t>
            </w:r>
            <w:r>
              <w:t xml:space="preserve"> </w:t>
            </w:r>
            <w:r>
              <w:t>为基准，逐年显著递增）</w:t>
            </w:r>
          </w:p>
        </w:tc>
        <w:tc>
          <w:tcPr>
            <w:tcW w:type="dxa" w:w="2160"/>
            <w:vAlign w:val="center"/>
            <w:tcMar>
              <w:top w:w="60" w:type="dxa"/>
              <w:bottom w:w="60" w:type="dxa"/>
              <w:left w:w="120" w:type="dxa"/>
              <w:right w:w="120" w:type="dxa"/>
            </w:tcMar>
          </w:tcPr>
          <w:p>
            <w:pPr>
              <w:jc w:val="center"/>
              <w:spacing w:line="240" w:lineRule="auto" w:before="60" w:after="60"/>
            </w:pPr>
            <w:bookmarkStart w:id="45" w:name="控制（ 2019 为基准，逐年显著递增）_01"/>
            <w:r>
              <w:t xml:space="preserve"> </w:t>
            </w:r>
            <w:bookmarkEnd w:id="45"/>
          </w:p>
        </w:tc>
        <w:tc>
          <w:tcPr>
            <w:tcW w:type="dxa" w:w="2160"/>
            <w:vAlign w:val="center"/>
            <w:tcMar>
              <w:top w:w="60" w:type="dxa"/>
              <w:bottom w:w="60" w:type="dxa"/>
              <w:left w:w="120" w:type="dxa"/>
              <w:right w:w="120" w:type="dxa"/>
            </w:tcMar>
          </w:tcPr>
          <w:p>
            <w:pPr>
              <w:jc w:val="center"/>
              <w:spacing w:line="240" w:lineRule="auto" w:before="60" w:after="60"/>
            </w:pPr>
            <w:bookmarkStart w:id="46" w:name="__DOCXFIELD_54261e930d7547429093984d2211da86___01"/>
            <w:r>
              <w:t xml:space="preserve"> </w:t>
            </w:r>
            <w:bookmarkEnd w:id="46"/>
          </w:p>
        </w:tc>
      </w:tr>
      <w:tr>
        <w:tc>
          <w:tcPr>
            <w:tcW w:type="dxa" w:w="2160"/>
            <w:vAlign w:val="center"/>
            <w:tcMar>
              <w:top w:w="60" w:type="dxa"/>
              <w:bottom w:w="60" w:type="dxa"/>
              <w:left w:w="120" w:type="dxa"/>
              <w:right w:w="120" w:type="dxa"/>
            </w:tcMar>
          </w:tcPr>
          <w:p>
            <w:pPr>
              <w:jc w:val="left"/>
              <w:spacing w:line="240" w:lineRule="auto" w:before="60" w:after="60"/>
            </w:pPr>
            <w:r>
              <w:t>行业固定效应</w:t>
            </w:r>
          </w:p>
        </w:tc>
        <w:tc>
          <w:tcPr>
            <w:tcW w:type="dxa" w:w="2160"/>
            <w:vAlign w:val="center"/>
            <w:tcMar>
              <w:top w:w="60" w:type="dxa"/>
              <w:bottom w:w="60" w:type="dxa"/>
              <w:left w:w="120" w:type="dxa"/>
              <w:right w:w="120" w:type="dxa"/>
            </w:tcMar>
          </w:tcPr>
          <w:p>
            <w:pPr>
              <w:jc w:val="center"/>
              <w:spacing w:line="240" w:lineRule="auto" w:before="60" w:after="60"/>
            </w:pPr>
            <w:r>
              <w:t>控制</w:t>
            </w:r>
          </w:p>
        </w:tc>
        <w:tc>
          <w:tcPr>
            <w:tcW w:type="dxa" w:w="2160"/>
            <w:vAlign w:val="center"/>
            <w:tcMar>
              <w:top w:w="60" w:type="dxa"/>
              <w:bottom w:w="60" w:type="dxa"/>
              <w:left w:w="120" w:type="dxa"/>
              <w:right w:w="120" w:type="dxa"/>
            </w:tcMar>
          </w:tcPr>
          <w:p>
            <w:pPr>
              <w:jc w:val="center"/>
              <w:spacing w:line="240" w:lineRule="auto" w:before="60" w:after="60"/>
            </w:pPr>
            <w:bookmarkStart w:id="47" w:name="控制_01"/>
            <w:r>
              <w:t xml:space="preserve"> </w:t>
            </w:r>
            <w:bookmarkEnd w:id="47"/>
          </w:p>
        </w:tc>
        <w:tc>
          <w:tcPr>
            <w:tcW w:type="dxa" w:w="2160"/>
            <w:vAlign w:val="center"/>
            <w:tcMar>
              <w:top w:w="60" w:type="dxa"/>
              <w:bottom w:w="60" w:type="dxa"/>
              <w:left w:w="120" w:type="dxa"/>
              <w:right w:w="120" w:type="dxa"/>
            </w:tcMar>
          </w:tcPr>
          <w:p>
            <w:pPr>
              <w:jc w:val="center"/>
              <w:spacing w:line="240" w:lineRule="auto" w:before="60" w:after="60"/>
            </w:pPr>
            <w:bookmarkStart w:id="48" w:name="__DOCXFIELD_5ffaf763d1c54feb996d69776be09677___01"/>
            <w:r>
              <w:t xml:space="preserve"> </w:t>
            </w:r>
            <w:bookmarkEnd w:id="48"/>
          </w:p>
        </w:tc>
      </w:tr>
      <w:tr>
        <w:tc>
          <w:tcPr>
            <w:tcW w:type="dxa" w:w="2160"/>
            <w:tcBorders>
              <w:bottom w:val="single" w:sz="12" w:space="0" w:color="333333"/>
            </w:tcBorders>
            <w:vAlign w:val="center"/>
            <w:tcMar>
              <w:top w:w="60" w:type="dxa"/>
              <w:bottom w:w="60" w:type="dxa"/>
              <w:left w:w="120" w:type="dxa"/>
              <w:right w:w="120" w:type="dxa"/>
            </w:tcMar>
          </w:tcPr>
          <w:p>
            <w:pPr>
              <w:jc w:val="left"/>
              <w:spacing w:line="240" w:lineRule="auto" w:before="60" w:after="60"/>
            </w:pPr>
            <w:r>
              <w:t>R²</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0.837</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观测数</w:t>
            </w:r>
          </w:p>
        </w:tc>
        <w:tc>
          <w:tcPr>
            <w:tcW w:type="dxa" w:w="2160"/>
            <w:tcBorders>
              <w:bottom w:val="single" w:sz="12" w:space="0" w:color="333333"/>
            </w:tcBorders>
            <w:vAlign w:val="center"/>
            <w:tcMar>
              <w:top w:w="60" w:type="dxa"/>
              <w:bottom w:w="60" w:type="dxa"/>
              <w:left w:w="120" w:type="dxa"/>
              <w:right w:w="120" w:type="dxa"/>
            </w:tcMar>
          </w:tcPr>
          <w:p>
            <w:pPr>
              <w:jc w:val="center"/>
              <w:spacing w:line="240" w:lineRule="auto" w:before="60" w:after="60"/>
            </w:pPr>
            <w:r>
              <w:t>300</w:t>
            </w:r>
          </w:p>
        </w:tc>
      </w:tr>
    </w:tbl>
    <w:p>
      <w:pPr>
        <w:ind w:firstLine="480"/>
        <w:jc w:val="both"/>
      </w:pPr>
      <w:r>
        <w:rPr>
          <w:rFonts w:ascii="宋体" w:hAnsi="宋体" w:eastAsia="宋体" w:cs="宋体" w:hint="eastAsia"/>
          <w:lang w:eastAsia="zh-CN"/>
        </w:rPr>
        <w:t>注：</w:t>
      </w:r>
      <w:r>
        <w:rPr>
          <w:rFonts w:ascii="宋体" w:hAnsi="宋体" w:eastAsia="宋体" w:cs="宋体" w:hint="eastAsia"/>
          <w:b/>
          <w:i/>
          <w:lang w:eastAsia="zh-CN"/>
        </w:rPr>
        <w:t>、</w:t>
      </w:r>
      <w:r>
        <w:rPr>
          <w:rFonts w:ascii="宋体" w:hAnsi="宋体" w:eastAsia="宋体" w:cs="宋体" w:hint="eastAsia"/>
          <w:i/>
          <w:lang w:eastAsia="zh-CN"/>
        </w:rPr>
        <w:t>、</w:t>
      </w:r>
      <w:r>
        <w:rPr>
          <w:rFonts w:ascii="宋体" w:hAnsi="宋体" w:eastAsia="宋体" w:cs="宋体" w:hint="eastAsia"/>
          <w:lang w:eastAsia="zh-CN"/>
        </w:rPr>
        <w:t>分别表示</w:t>
      </w:r>
      <w:r>
        <w:rPr>
          <w:rFonts w:ascii="黑体" w:hAnsi="黑体"/>
        </w:rPr>
        <w:t>1%</w:t>
      </w:r>
      <w:r>
        <w:rPr>
          <w:rFonts w:ascii="宋体" w:hAnsi="宋体" w:eastAsia="宋体" w:cs="宋体" w:hint="eastAsia"/>
          <w:lang w:eastAsia="zh-CN"/>
        </w:rPr>
        <w:t>、</w:t>
      </w:r>
      <w:r>
        <w:rPr>
          <w:rFonts w:ascii="黑体" w:hAnsi="黑体"/>
        </w:rPr>
        <w:t>5%</w:t>
      </w:r>
      <w:r>
        <w:rPr>
          <w:rFonts w:ascii="宋体" w:hAnsi="宋体" w:eastAsia="宋体" w:cs="宋体" w:hint="eastAsia"/>
          <w:lang w:eastAsia="zh-CN"/>
        </w:rPr>
        <w:t>、</w:t>
      </w:r>
      <w:r>
        <w:rPr>
          <w:rFonts w:ascii="黑体" w:hAnsi="黑体"/>
        </w:rPr>
        <w:t>10%</w:t>
      </w:r>
      <w:r>
        <w:rPr>
          <w:rFonts w:ascii="宋体" w:hAnsi="宋体" w:eastAsia="宋体" w:cs="宋体" w:hint="eastAsia"/>
          <w:lang w:eastAsia="zh-CN"/>
        </w:rPr>
        <w:t>显著性水平。</w:t>
      </w:r>
    </w:p>
    <w:p>
      <w:pPr>
        <w:ind w:firstLine="480"/>
        <w:jc w:val="both"/>
      </w:pPr>
      <w:r>
        <w:rPr>
          <w:rFonts w:ascii="宋体" w:hAnsi="宋体" w:eastAsia="宋体" w:cs="宋体" w:hint="eastAsia"/>
          <w:lang w:eastAsia="zh-CN"/>
        </w:rPr>
        <w:t>回归结果提供了三点信息。第一，企业规模系数为</w:t>
      </w:r>
      <w:r>
        <w:rPr>
          <w:rFonts w:ascii="黑体" w:hAnsi="黑体"/>
        </w:rPr>
        <w:t>0.169</w:t>
      </w:r>
      <w:r>
        <w:rPr>
          <w:rFonts w:ascii="宋体" w:hAnsi="宋体" w:eastAsia="宋体" w:cs="宋体" w:hint="eastAsia"/>
          <w:lang w:eastAsia="zh-CN"/>
        </w:rPr>
        <w:t>且在</w:t>
      </w:r>
      <w:r>
        <w:rPr>
          <w:rFonts w:ascii="黑体" w:hAnsi="黑体"/>
        </w:rPr>
        <w:t>1%</w:t>
      </w:r>
      <w:r>
        <w:rPr>
          <w:rFonts w:ascii="宋体" w:hAnsi="宋体" w:eastAsia="宋体" w:cs="宋体" w:hint="eastAsia"/>
          <w:lang w:eastAsia="zh-CN"/>
        </w:rPr>
        <w:t>水平显著，规模越大的企业数字化叙述越密集，与</w:t>
      </w:r>
      <w:r>
        <w:rPr>
          <w:rFonts w:ascii="黑体" w:hAnsi="黑体"/>
        </w:rPr>
        <w:t>"</w:t>
      </w:r>
      <w:r>
        <w:rPr>
          <w:rFonts w:ascii="宋体" w:hAnsi="宋体" w:eastAsia="宋体" w:cs="宋体" w:hint="eastAsia"/>
          <w:lang w:eastAsia="zh-CN"/>
        </w:rPr>
        <w:t>大企业更具资源禀赋推进数字化转型</w:t>
      </w:r>
      <w:r>
        <w:rPr>
          <w:rFonts w:ascii="黑体" w:hAnsi="黑体"/>
        </w:rPr>
        <w:t>"</w:t>
      </w:r>
      <w:r>
        <w:rPr>
          <w:rFonts w:ascii="宋体" w:hAnsi="宋体" w:eastAsia="宋体" w:cs="宋体" w:hint="eastAsia"/>
          <w:lang w:eastAsia="zh-CN"/>
        </w:rPr>
        <w:t>的理论一致；第二，研发强度系数为</w:t>
      </w:r>
      <w:r>
        <w:rPr>
          <w:rFonts w:ascii="黑体" w:hAnsi="黑体"/>
        </w:rPr>
        <w:t>6.033</w:t>
      </w:r>
      <w:r>
        <w:rPr>
          <w:rFonts w:ascii="宋体" w:hAnsi="宋体" w:eastAsia="宋体" w:cs="宋体" w:hint="eastAsia"/>
          <w:lang w:eastAsia="zh-CN"/>
        </w:rPr>
        <w:t>且高度显著，进一步印证效度检验的结论</w:t>
      </w:r>
      <w:r>
        <w:rPr>
          <w:rFonts w:ascii="黑体" w:hAnsi="黑体"/>
        </w:rPr>
        <w:t>——</w:t>
      </w:r>
      <w:r>
        <w:rPr>
          <w:rFonts w:ascii="宋体" w:hAnsi="宋体" w:eastAsia="宋体" w:cs="宋体" w:hint="eastAsia"/>
          <w:lang w:eastAsia="zh-CN"/>
        </w:rPr>
        <w:t>测度捕捉到了与创新能力相关的真实变异；第三，年份虚拟变量自</w:t>
      </w:r>
      <w:r>
        <w:rPr>
          <w:rFonts w:ascii="黑体" w:hAnsi="黑体"/>
        </w:rPr>
        <w:t>2020</w:t>
      </w:r>
      <w:r>
        <w:rPr>
          <w:rFonts w:ascii="宋体" w:hAnsi="宋体" w:eastAsia="宋体" w:cs="宋体" w:hint="eastAsia"/>
          <w:lang w:eastAsia="zh-CN"/>
        </w:rPr>
        <w:t>年起逐年显著为正（</w:t>
      </w:r>
      <w:r>
        <w:rPr>
          <w:rFonts w:ascii="黑体" w:hAnsi="黑体"/>
        </w:rPr>
        <w:t>0.094→0.168→0.254→0.304</w:t>
      </w:r>
      <w:r>
        <w:rPr>
          <w:rFonts w:ascii="宋体" w:hAnsi="宋体" w:eastAsia="宋体" w:cs="宋体" w:hint="eastAsia"/>
          <w:lang w:eastAsia="zh-CN"/>
        </w:rPr>
        <w:t>），在控制企业特征后数字化水平仍呈稳定的年度上行趋势，说明测度对时间趋势敏感。财务杠杆系数显著为负（</w:t>
      </w:r>
      <w:r>
        <w:rPr>
          <w:rFonts w:ascii="黑体" w:hAnsi="黑体"/>
        </w:rPr>
        <w:t>-0.140</w:t>
      </w:r>
      <w:r>
        <w:rPr>
          <w:rFonts w:ascii="宋体" w:hAnsi="宋体" w:eastAsia="宋体" w:cs="宋体" w:hint="eastAsia"/>
          <w:lang w:eastAsia="zh-CN"/>
        </w:rPr>
        <w:t>），可能反映高杠杆企业更倾向收缩长期技术投入；</w:t>
      </w:r>
      <w:r>
        <w:rPr>
          <w:rFonts w:ascii="黑体" w:hAnsi="黑体"/>
        </w:rPr>
        <w:t>ROA</w:t>
      </w:r>
      <w:r>
        <w:rPr>
          <w:rFonts w:ascii="宋体" w:hAnsi="宋体" w:eastAsia="宋体" w:cs="宋体" w:hint="eastAsia"/>
          <w:lang w:eastAsia="zh-CN"/>
        </w:rPr>
        <w:t>不显著。模型</w:t>
      </w:r>
      <w:r>
        <w:rPr>
          <w:rFonts w:ascii="黑体" w:hAnsi="黑体"/>
        </w:rPr>
        <w:t>R²</w:t>
      </w:r>
      <w:r>
        <w:rPr>
          <w:rFonts w:ascii="宋体" w:hAnsi="宋体" w:eastAsia="宋体" w:cs="宋体" w:hint="eastAsia"/>
          <w:lang w:eastAsia="zh-CN"/>
        </w:rPr>
        <w:t>达</w:t>
      </w:r>
      <w:r>
        <w:rPr>
          <w:rFonts w:ascii="黑体" w:hAnsi="黑体"/>
        </w:rPr>
        <w:t>0.837</w:t>
      </w:r>
      <w:r>
        <w:rPr>
          <w:rFonts w:ascii="宋体" w:hAnsi="宋体" w:eastAsia="宋体" w:cs="宋体" w:hint="eastAsia"/>
          <w:lang w:eastAsia="zh-CN"/>
        </w:rPr>
        <w:t>，主要贡献来自企业规模、研发强度与年份固定效应。</w:t>
      </w:r>
    </w:p>
    <w:p>
      <w:pPr>
        <w:ind w:firstLine="480"/>
        <w:jc w:val="both"/>
      </w:pPr>
      <w:r>
        <w:rPr>
          <w:rFonts w:ascii="宋体" w:hAnsi="宋体" w:eastAsia="宋体" w:cs="宋体" w:hint="eastAsia"/>
          <w:lang w:eastAsia="zh-CN"/>
        </w:rPr>
        <w:t>作为稳健性参考，以计数口径</w:t>
      </w:r>
      <w:r>
        <w:rPr>
          <w:rFonts w:ascii="黑体" w:hAnsi="黑体"/>
        </w:rPr>
        <w:t>DT_kw</w:t>
      </w:r>
      <w:r>
        <w:rPr>
          <w:rFonts w:ascii="宋体" w:hAnsi="宋体" w:eastAsia="宋体" w:cs="宋体" w:hint="eastAsia"/>
          <w:lang w:eastAsia="zh-CN"/>
        </w:rPr>
        <w:t>替换</w:t>
      </w:r>
      <w:r>
        <w:rPr>
          <w:rFonts w:ascii="黑体" w:hAnsi="黑体"/>
        </w:rPr>
        <w:t>DT</w:t>
      </w:r>
      <w:r>
        <w:rPr>
          <w:rFonts w:ascii="宋体" w:hAnsi="宋体" w:eastAsia="宋体" w:cs="宋体" w:hint="eastAsia"/>
          <w:lang w:eastAsia="zh-CN"/>
        </w:rPr>
        <w:t>后各变量符号与显著性保持一致，表明结论不依赖于对数变换的处理方式。</w:t>
      </w:r>
    </w:p>
    <w:p>
      <w:bookmarkStart w:id="38" w:name="_Toc_35________________"/>
      <w:bookmarkStart w:id="16" w:name="35测度的进一步讨论稳健性与偏差来源"/>
      <w:pPr>
        <w:pStyle w:val="Heading3"/>
      </w:pPr>
      <w:bookmarkEnd w:id="16"/>
      <w:r>
        <w:rPr>
          <w:rFonts w:ascii="宋体" w:hAnsi="宋体" w:eastAsia="宋体" w:cs="宋体" w:hint="eastAsia"/>
          <w:sz w:val="24"/>
          <w:lang w:eastAsia="zh-CN"/>
        </w:rPr>
        <w:t>3.5 测度的进一步讨论：稳健性与偏差来源</w:t>
      </w:r>
      <w:bookmarkEnd w:id="38"/>
    </w:p>
    <w:p>
      <w:pPr>
        <w:ind w:firstLine="480"/>
        <w:jc w:val="both"/>
      </w:pPr>
      <w:r>
        <w:rPr>
          <w:rFonts w:ascii="宋体" w:hAnsi="宋体" w:eastAsia="宋体" w:cs="宋体" w:hint="eastAsia"/>
          <w:b/>
          <w:lang w:eastAsia="zh-CN"/>
        </w:rPr>
        <w:t>口径稳健性。</w:t>
      </w:r>
      <w:r>
        <w:rPr>
          <w:rFonts w:ascii="黑体" w:hAnsi="黑体"/>
        </w:rPr>
        <w:t xml:space="preserve"> </w:t>
      </w:r>
      <w:r>
        <w:rPr>
          <w:rFonts w:ascii="宋体" w:hAnsi="宋体" w:eastAsia="宋体" w:cs="宋体" w:hint="eastAsia"/>
          <w:lang w:eastAsia="zh-CN"/>
        </w:rPr>
        <w:t>本文同时报告</w:t>
      </w:r>
      <w:r>
        <w:rPr>
          <w:rFonts w:ascii="黑体" w:hAnsi="黑体"/>
        </w:rPr>
        <w:t>ln(1+</w:t>
      </w:r>
      <w:r>
        <w:rPr>
          <w:rFonts w:ascii="宋体" w:hAnsi="宋体" w:eastAsia="宋体" w:cs="宋体" w:hint="eastAsia"/>
          <w:lang w:eastAsia="zh-CN"/>
        </w:rPr>
        <w:t>词频</w:t>
      </w:r>
      <w:r>
        <w:rPr>
          <w:rFonts w:ascii="黑体" w:hAnsi="黑体"/>
        </w:rPr>
        <w:t>)</w:t>
      </w:r>
      <w:r>
        <w:rPr>
          <w:rFonts w:ascii="宋体" w:hAnsi="宋体" w:eastAsia="宋体" w:cs="宋体" w:hint="eastAsia"/>
          <w:lang w:eastAsia="zh-CN"/>
        </w:rPr>
        <w:t>与词频计数两种口径，二者的秩相关系数接近于</w:t>
      </w:r>
      <w:r>
        <w:rPr>
          <w:rFonts w:ascii="黑体" w:hAnsi="黑体"/>
        </w:rPr>
        <w:t>1</w:t>
      </w:r>
      <w:r>
        <w:rPr>
          <w:rFonts w:ascii="宋体" w:hAnsi="宋体" w:eastAsia="宋体" w:cs="宋体" w:hint="eastAsia"/>
          <w:lang w:eastAsia="zh-CN"/>
        </w:rPr>
        <w:t>，回归结论完全一致，说明主测度对函数变换不敏感。此外，若仅使用</w:t>
      </w:r>
      <w:r>
        <w:rPr>
          <w:rFonts w:ascii="黑体" w:hAnsi="黑体"/>
        </w:rPr>
        <w:t>"</w:t>
      </w:r>
      <w:r>
        <w:rPr>
          <w:rFonts w:ascii="宋体" w:hAnsi="宋体" w:eastAsia="宋体" w:cs="宋体" w:hint="eastAsia"/>
          <w:lang w:eastAsia="zh-CN"/>
        </w:rPr>
        <w:t>数字技术应用</w:t>
      </w:r>
      <w:r>
        <w:rPr>
          <w:rFonts w:ascii="黑体" w:hAnsi="黑体"/>
        </w:rPr>
        <w:t>"</w:t>
      </w:r>
      <w:r>
        <w:rPr>
          <w:rFonts w:ascii="宋体" w:hAnsi="宋体" w:eastAsia="宋体" w:cs="宋体" w:hint="eastAsia"/>
          <w:lang w:eastAsia="zh-CN"/>
        </w:rPr>
        <w:t>单一维度词频构建替代测度，其与主测度</w:t>
      </w:r>
      <w:r>
        <w:rPr>
          <w:rFonts w:ascii="黑体" w:hAnsi="黑体"/>
        </w:rPr>
        <w:t>DT</w:t>
      </w:r>
      <w:r>
        <w:rPr>
          <w:rFonts w:ascii="宋体" w:hAnsi="宋体" w:eastAsia="宋体" w:cs="宋体" w:hint="eastAsia"/>
          <w:lang w:eastAsia="zh-CN"/>
        </w:rPr>
        <w:t>的相关系数仍超过</w:t>
      </w:r>
      <w:r>
        <w:rPr>
          <w:rFonts w:ascii="黑体" w:hAnsi="黑体"/>
        </w:rPr>
        <w:t>0.8</w:t>
      </w:r>
      <w:r>
        <w:rPr>
          <w:rFonts w:ascii="宋体" w:hAnsi="宋体" w:eastAsia="宋体" w:cs="宋体" w:hint="eastAsia"/>
          <w:lang w:eastAsia="zh-CN"/>
        </w:rPr>
        <w:t>，测度信息主要由高频维度承载，但也提示单一维度不能替代五维合成。</w:t>
      </w:r>
    </w:p>
    <w:p>
      <w:pPr>
        <w:ind w:firstLine="480"/>
        <w:jc w:val="both"/>
      </w:pPr>
      <w:r>
        <w:rPr>
          <w:rFonts w:ascii="宋体" w:hAnsi="宋体" w:eastAsia="宋体" w:cs="宋体" w:hint="eastAsia"/>
          <w:b/>
          <w:lang w:eastAsia="zh-CN"/>
        </w:rPr>
        <w:t>潜在偏差来源。</w:t>
      </w:r>
      <w:r>
        <w:rPr>
          <w:rFonts w:ascii="黑体" w:hAnsi="黑体"/>
        </w:rPr>
        <w:t xml:space="preserve"> </w:t>
      </w:r>
      <w:r>
        <w:rPr>
          <w:rFonts w:ascii="宋体" w:hAnsi="宋体" w:eastAsia="宋体" w:cs="宋体" w:hint="eastAsia"/>
          <w:lang w:eastAsia="zh-CN"/>
        </w:rPr>
        <w:t>第一，叙事夸大偏差：管理层可能存在</w:t>
      </w:r>
      <w:r>
        <w:rPr>
          <w:rFonts w:ascii="黑体" w:hAnsi="黑体"/>
        </w:rPr>
        <w:t>"</w:t>
      </w:r>
      <w:r>
        <w:rPr>
          <w:rFonts w:ascii="宋体" w:hAnsi="宋体" w:eastAsia="宋体" w:cs="宋体" w:hint="eastAsia"/>
          <w:lang w:eastAsia="zh-CN"/>
        </w:rPr>
        <w:t>蹭热点</w:t>
      </w:r>
      <w:r>
        <w:rPr>
          <w:rFonts w:ascii="黑体" w:hAnsi="黑体"/>
        </w:rPr>
        <w:t>"</w:t>
      </w:r>
      <w:r>
        <w:rPr>
          <w:rFonts w:ascii="宋体" w:hAnsi="宋体" w:eastAsia="宋体" w:cs="宋体" w:hint="eastAsia"/>
          <w:lang w:eastAsia="zh-CN"/>
        </w:rPr>
        <w:t>动机，在年报中堆砌数字化词汇而实际投入不足，词典法无法识别语义真假；缓解办法是结合无形资产明细中的软件、专利数据做交叉验证。第二，词典覆盖偏差：新词汇（如</w:t>
      </w:r>
      <w:r>
        <w:rPr>
          <w:rFonts w:ascii="黑体" w:hAnsi="黑体"/>
        </w:rPr>
        <w:t>"</w:t>
      </w:r>
      <w:r>
        <w:rPr>
          <w:rFonts w:ascii="宋体" w:hAnsi="宋体" w:eastAsia="宋体" w:cs="宋体" w:hint="eastAsia"/>
          <w:lang w:eastAsia="zh-CN"/>
        </w:rPr>
        <w:t>大模型</w:t>
      </w:r>
      <w:r>
        <w:rPr>
          <w:rFonts w:ascii="黑体" w:hAnsi="黑体"/>
        </w:rPr>
        <w:t>""AIGC"</w:t>
      </w:r>
      <w:r>
        <w:rPr>
          <w:rFonts w:ascii="宋体" w:hAnsi="宋体" w:eastAsia="宋体" w:cs="宋体" w:hint="eastAsia"/>
          <w:lang w:eastAsia="zh-CN"/>
        </w:rPr>
        <w:t>）在早期词典中缺失，会造成对前沿企业测度的系统性低估；本文已在词典扩充中纳入</w:t>
      </w:r>
      <w:r>
        <w:rPr>
          <w:rFonts w:ascii="黑体" w:hAnsi="黑体"/>
        </w:rPr>
        <w:t>"</w:t>
      </w:r>
      <w:r>
        <w:rPr>
          <w:rFonts w:ascii="宋体" w:hAnsi="宋体" w:eastAsia="宋体" w:cs="宋体" w:hint="eastAsia"/>
          <w:lang w:eastAsia="zh-CN"/>
        </w:rPr>
        <w:t>大模型</w:t>
      </w:r>
      <w:r>
        <w:rPr>
          <w:rFonts w:ascii="黑体" w:hAnsi="黑体"/>
        </w:rPr>
        <w:t>""</w:t>
      </w:r>
      <w:r>
        <w:rPr>
          <w:rFonts w:ascii="宋体" w:hAnsi="宋体" w:eastAsia="宋体" w:cs="宋体" w:hint="eastAsia"/>
          <w:lang w:eastAsia="zh-CN"/>
        </w:rPr>
        <w:t>生成式人工智能</w:t>
      </w:r>
      <w:r>
        <w:rPr>
          <w:rFonts w:ascii="黑体" w:hAnsi="黑体"/>
        </w:rPr>
        <w:t>"</w:t>
      </w:r>
      <w:r>
        <w:rPr>
          <w:rFonts w:ascii="宋体" w:hAnsi="宋体" w:eastAsia="宋体" w:cs="宋体" w:hint="eastAsia"/>
          <w:lang w:eastAsia="zh-CN"/>
        </w:rPr>
        <w:t>等新词，但覆盖偏差仍需持续维护词典。第三，行业语体差异：不同行业叙述风格不同，金融业与制造业的技术词汇密度天然存在差异，跨行业比较时应控制行业固定效应或做行业内标准化，本文回归中已控制行业效应。</w:t>
      </w:r>
    </w:p>
    <w:p>
      <w:pPr>
        <w:ind w:firstLine="480"/>
        <w:jc w:val="both"/>
      </w:pPr>
      <w:r>
        <w:rPr>
          <w:rFonts w:ascii="宋体" w:hAnsi="宋体" w:eastAsia="宋体" w:cs="宋体" w:hint="eastAsia"/>
          <w:b/>
          <w:lang w:eastAsia="zh-CN"/>
        </w:rPr>
        <w:t>测度分布特征的方法论含义。</w:t>
      </w:r>
      <w:r>
        <w:rPr>
          <w:rFonts w:ascii="黑体" w:hAnsi="黑体"/>
        </w:rPr>
        <w:t xml:space="preserve"> DT</w:t>
      </w:r>
      <w:r>
        <w:rPr>
          <w:rFonts w:ascii="宋体" w:hAnsi="宋体" w:eastAsia="宋体" w:cs="宋体" w:hint="eastAsia"/>
          <w:lang w:eastAsia="zh-CN"/>
        </w:rPr>
        <w:t>的标准差随时间收敛、偏度趋于对称，说明随数字化普及，词频法的边际区分能力可能下降</w:t>
      </w:r>
      <w:r>
        <w:rPr>
          <w:rFonts w:ascii="黑体" w:hAnsi="黑体"/>
        </w:rPr>
        <w:t>——</w:t>
      </w:r>
      <w:r>
        <w:rPr>
          <w:rFonts w:ascii="宋体" w:hAnsi="宋体" w:eastAsia="宋体" w:cs="宋体" w:hint="eastAsia"/>
          <w:lang w:eastAsia="zh-CN"/>
        </w:rPr>
        <w:t>当所有企业都在谈论数字化时，</w:t>
      </w:r>
      <w:r>
        <w:rPr>
          <w:rFonts w:ascii="黑体" w:hAnsi="黑体"/>
        </w:rPr>
        <w:t>"</w:t>
      </w:r>
      <w:r>
        <w:rPr>
          <w:rFonts w:ascii="宋体" w:hAnsi="宋体" w:eastAsia="宋体" w:cs="宋体" w:hint="eastAsia"/>
          <w:lang w:eastAsia="zh-CN"/>
        </w:rPr>
        <w:t>谈论多少</w:t>
      </w:r>
      <w:r>
        <w:rPr>
          <w:rFonts w:ascii="黑体" w:hAnsi="黑体"/>
        </w:rPr>
        <w:t>"</w:t>
      </w:r>
      <w:r>
        <w:rPr>
          <w:rFonts w:ascii="宋体" w:hAnsi="宋体" w:eastAsia="宋体" w:cs="宋体" w:hint="eastAsia"/>
          <w:lang w:eastAsia="zh-CN"/>
        </w:rPr>
        <w:t>越来越难以区分</w:t>
      </w:r>
      <w:r>
        <w:rPr>
          <w:rFonts w:ascii="黑体" w:hAnsi="黑体"/>
        </w:rPr>
        <w:t>"</w:t>
      </w:r>
      <w:r>
        <w:rPr>
          <w:rFonts w:ascii="宋体" w:hAnsi="宋体" w:eastAsia="宋体" w:cs="宋体" w:hint="eastAsia"/>
          <w:lang w:eastAsia="zh-CN"/>
        </w:rPr>
        <w:t>做得多少</w:t>
      </w:r>
      <w:r>
        <w:rPr>
          <w:rFonts w:ascii="黑体" w:hAnsi="黑体"/>
        </w:rPr>
        <w:t>"</w:t>
      </w:r>
      <w:r>
        <w:rPr>
          <w:rFonts w:ascii="宋体" w:hAnsi="宋体" w:eastAsia="宋体" w:cs="宋体" w:hint="eastAsia"/>
          <w:lang w:eastAsia="zh-CN"/>
        </w:rPr>
        <w:t>。这从方法层面印证了文献中</w:t>
      </w:r>
      <w:r>
        <w:rPr>
          <w:rFonts w:ascii="黑体" w:hAnsi="黑体"/>
        </w:rPr>
        <w:t>"</w:t>
      </w:r>
      <w:r>
        <w:rPr>
          <w:rFonts w:ascii="宋体" w:hAnsi="宋体" w:eastAsia="宋体" w:cs="宋体" w:hint="eastAsia"/>
          <w:lang w:eastAsia="zh-CN"/>
        </w:rPr>
        <w:t>词频法适用于转型早期、语义法适用于成熟期</w:t>
      </w:r>
      <w:r>
        <w:rPr>
          <w:rFonts w:ascii="黑体" w:hAnsi="黑体"/>
        </w:rPr>
        <w:t>"</w:t>
      </w:r>
      <w:r>
        <w:rPr>
          <w:rFonts w:ascii="宋体" w:hAnsi="宋体" w:eastAsia="宋体" w:cs="宋体" w:hint="eastAsia"/>
          <w:lang w:eastAsia="zh-CN"/>
        </w:rPr>
        <w:t>的判断，也提示后续研究应关注基于语义嵌入的第二代测度。</w:t>
      </w:r>
      <w:r/>
    </w:p>
    <w:p>
      <w:bookmarkStart w:id="39" w:name="_Toc_4__"/>
      <w:bookmarkStart w:id="17" w:name="4结论"/>
      <w:pPr>
        <w:pStyle w:val="Heading2"/>
      </w:pPr>
      <w:bookmarkEnd w:id="17"/>
      <w:r>
        <w:rPr>
          <w:rFonts w:ascii="宋体" w:hAnsi="宋体" w:eastAsia="宋体" w:cs="宋体" w:hint="eastAsia"/>
          <w:sz w:val="28"/>
          <w:lang w:eastAsia="zh-CN"/>
        </w:rPr>
        <w:t>4. 结论</w:t>
      </w:r>
      <w:bookmarkEnd w:id="39"/>
    </w:p>
    <w:p>
      <w:bookmarkStart w:id="40" w:name="_Toc_41____"/>
      <w:bookmarkStart w:id="18" w:name="41主要发现"/>
      <w:pPr>
        <w:pStyle w:val="Heading3"/>
      </w:pPr>
      <w:bookmarkEnd w:id="18"/>
      <w:r>
        <w:rPr>
          <w:rFonts w:ascii="宋体" w:hAnsi="宋体" w:eastAsia="宋体" w:cs="宋体" w:hint="eastAsia"/>
          <w:sz w:val="24"/>
          <w:lang w:eastAsia="zh-CN"/>
        </w:rPr>
        <w:t>4.1 主要发现</w:t>
      </w:r>
      <w:bookmarkEnd w:id="40"/>
    </w:p>
    <w:p>
      <w:pPr>
        <w:ind w:firstLine="480"/>
        <w:jc w:val="both"/>
      </w:pPr>
      <w:r>
        <w:rPr>
          <w:rFonts w:ascii="宋体" w:hAnsi="宋体" w:eastAsia="宋体" w:cs="宋体" w:hint="eastAsia"/>
          <w:lang w:eastAsia="zh-CN"/>
        </w:rPr>
        <w:t>本文完整实践了基于年报文本挖掘的企业数字化转型测度构建方法，主要发现如下：</w:t>
      </w:r>
    </w:p>
    <w:p>
      <w:pPr>
        <w:ind w:firstLine="480"/>
        <w:jc w:val="both"/>
      </w:pPr>
      <w:r>
        <w:rPr>
          <w:rFonts w:ascii="宋体" w:hAnsi="宋体" w:eastAsia="宋体" w:cs="宋体" w:hint="eastAsia"/>
          <w:lang w:eastAsia="zh-CN"/>
        </w:rPr>
        <w:t>第一，方法层面，</w:t>
      </w:r>
      <w:r>
        <w:rPr>
          <w:rFonts w:ascii="黑体" w:hAnsi="黑体"/>
        </w:rPr>
        <w:t>"</w:t>
      </w:r>
      <w:r>
        <w:rPr>
          <w:rFonts w:ascii="宋体" w:hAnsi="宋体" w:eastAsia="宋体" w:cs="宋体" w:hint="eastAsia"/>
          <w:lang w:eastAsia="zh-CN"/>
        </w:rPr>
        <w:t>数据获取</w:t>
      </w:r>
      <w:r>
        <w:rPr>
          <w:rFonts w:ascii="黑体" w:hAnsi="黑体"/>
        </w:rPr>
        <w:t>—</w:t>
      </w:r>
      <w:r>
        <w:rPr>
          <w:rFonts w:ascii="宋体" w:hAnsi="宋体" w:eastAsia="宋体" w:cs="宋体" w:hint="eastAsia"/>
          <w:lang w:eastAsia="zh-CN"/>
        </w:rPr>
        <w:t>文本预处理</w:t>
      </w:r>
      <w:r>
        <w:rPr>
          <w:rFonts w:ascii="黑体" w:hAnsi="黑体"/>
        </w:rPr>
        <w:t>—</w:t>
      </w:r>
      <w:r>
        <w:rPr>
          <w:rFonts w:ascii="宋体" w:hAnsi="宋体" w:eastAsia="宋体" w:cs="宋体" w:hint="eastAsia"/>
          <w:lang w:eastAsia="zh-CN"/>
        </w:rPr>
        <w:t>中文分词</w:t>
      </w:r>
      <w:r>
        <w:rPr>
          <w:rFonts w:ascii="黑体" w:hAnsi="黑体"/>
        </w:rPr>
        <w:t>—</w:t>
      </w:r>
      <w:r>
        <w:rPr>
          <w:rFonts w:ascii="宋体" w:hAnsi="宋体" w:eastAsia="宋体" w:cs="宋体" w:hint="eastAsia"/>
          <w:lang w:eastAsia="zh-CN"/>
        </w:rPr>
        <w:t>词典匹配</w:t>
      </w:r>
      <w:r>
        <w:rPr>
          <w:rFonts w:ascii="黑体" w:hAnsi="黑体"/>
        </w:rPr>
        <w:t>—</w:t>
      </w:r>
      <w:r>
        <w:rPr>
          <w:rFonts w:ascii="宋体" w:hAnsi="宋体" w:eastAsia="宋体" w:cs="宋体" w:hint="eastAsia"/>
          <w:lang w:eastAsia="zh-CN"/>
        </w:rPr>
        <w:t>测度计算</w:t>
      </w:r>
      <w:r>
        <w:rPr>
          <w:rFonts w:ascii="黑体" w:hAnsi="黑体"/>
        </w:rPr>
        <w:t>"</w:t>
      </w:r>
      <w:r>
        <w:rPr>
          <w:rFonts w:ascii="宋体" w:hAnsi="宋体" w:eastAsia="宋体" w:cs="宋体" w:hint="eastAsia"/>
          <w:lang w:eastAsia="zh-CN"/>
        </w:rPr>
        <w:t>五步流水线可以规范化地从非结构化年报文本产出企业</w:t>
      </w:r>
      <w:r>
        <w:rPr>
          <w:rFonts w:ascii="黑体" w:hAnsi="黑体"/>
        </w:rPr>
        <w:t>—</w:t>
      </w:r>
      <w:r>
        <w:rPr>
          <w:rFonts w:ascii="宋体" w:hAnsi="宋体" w:eastAsia="宋体" w:cs="宋体" w:hint="eastAsia"/>
          <w:lang w:eastAsia="zh-CN"/>
        </w:rPr>
        <w:t>年份面板数据，全过程脚本化、参数透明、结果可复现，验证了课堂方法体系在真实研究议题上的可操作性。</w:t>
      </w:r>
    </w:p>
    <w:p>
      <w:pPr>
        <w:ind w:firstLine="480"/>
        <w:jc w:val="both"/>
      </w:pPr>
      <w:r>
        <w:rPr>
          <w:rFonts w:ascii="宋体" w:hAnsi="宋体" w:eastAsia="宋体" w:cs="宋体" w:hint="eastAsia"/>
          <w:lang w:eastAsia="zh-CN"/>
        </w:rPr>
        <w:t>第二，测度质量层面，主测度</w:t>
      </w:r>
      <w:r>
        <w:rPr>
          <w:rFonts w:ascii="黑体" w:hAnsi="黑体"/>
        </w:rPr>
        <w:t>DT</w:t>
      </w:r>
      <w:r>
        <w:rPr>
          <w:rFonts w:ascii="宋体" w:hAnsi="宋体" w:eastAsia="宋体" w:cs="宋体" w:hint="eastAsia"/>
          <w:lang w:eastAsia="zh-CN"/>
        </w:rPr>
        <w:t>的信度达到可接受水平（</w:t>
      </w:r>
      <w:r>
        <w:rPr>
          <w:rFonts w:ascii="黑体" w:hAnsi="黑体"/>
        </w:rPr>
        <w:t>Cronbach's α=0.706</w:t>
      </w:r>
      <w:r>
        <w:rPr>
          <w:rFonts w:ascii="宋体" w:hAnsi="宋体" w:eastAsia="宋体" w:cs="宋体" w:hint="eastAsia"/>
          <w:lang w:eastAsia="zh-CN"/>
        </w:rPr>
        <w:t>，折半信度</w:t>
      </w:r>
      <w:r>
        <w:rPr>
          <w:rFonts w:ascii="黑体" w:hAnsi="黑体"/>
        </w:rPr>
        <w:t>0.757</w:t>
      </w:r>
      <w:r>
        <w:rPr>
          <w:rFonts w:ascii="宋体" w:hAnsi="宋体" w:eastAsia="宋体" w:cs="宋体" w:hint="eastAsia"/>
          <w:lang w:eastAsia="zh-CN"/>
        </w:rPr>
        <w:t>），同时效度（与研发强度相关</w:t>
      </w:r>
      <w:r>
        <w:rPr>
          <w:rFonts w:ascii="黑体" w:hAnsi="黑体"/>
        </w:rPr>
        <w:t>0.570</w:t>
      </w:r>
      <w:r>
        <w:rPr>
          <w:rFonts w:ascii="宋体" w:hAnsi="宋体" w:eastAsia="宋体" w:cs="宋体" w:hint="eastAsia"/>
          <w:lang w:eastAsia="zh-CN"/>
        </w:rPr>
        <w:t>）与已知组效度（高低研发组差异</w:t>
      </w:r>
      <w:r>
        <w:rPr>
          <w:rFonts w:ascii="黑体" w:hAnsi="黑体"/>
        </w:rPr>
        <w:t>0.383</w:t>
      </w:r>
      <w:r>
        <w:rPr>
          <w:rFonts w:ascii="宋体" w:hAnsi="宋体" w:eastAsia="宋体" w:cs="宋体" w:hint="eastAsia"/>
          <w:lang w:eastAsia="zh-CN"/>
        </w:rPr>
        <w:t>）证据充分，说明词典法测度并非</w:t>
      </w:r>
      <w:r>
        <w:rPr>
          <w:rFonts w:ascii="黑体" w:hAnsi="黑体"/>
        </w:rPr>
        <w:t>"</w:t>
      </w:r>
      <w:r>
        <w:rPr>
          <w:rFonts w:ascii="宋体" w:hAnsi="宋体" w:eastAsia="宋体" w:cs="宋体" w:hint="eastAsia"/>
          <w:lang w:eastAsia="zh-CN"/>
        </w:rPr>
        <w:t>数词游戏</w:t>
      </w:r>
      <w:r>
        <w:rPr>
          <w:rFonts w:ascii="黑体" w:hAnsi="黑体"/>
        </w:rPr>
        <w:t>"</w:t>
      </w:r>
      <w:r>
        <w:rPr>
          <w:rFonts w:ascii="宋体" w:hAnsi="宋体" w:eastAsia="宋体" w:cs="宋体" w:hint="eastAsia"/>
          <w:lang w:eastAsia="zh-CN"/>
        </w:rPr>
        <w:t>，而具有构念层面的测量学基础。</w:t>
      </w:r>
    </w:p>
    <w:p>
      <w:pPr>
        <w:ind w:firstLine="480"/>
        <w:jc w:val="both"/>
      </w:pPr>
      <w:r>
        <w:rPr>
          <w:rFonts w:ascii="宋体" w:hAnsi="宋体" w:eastAsia="宋体" w:cs="宋体" w:hint="eastAsia"/>
          <w:lang w:eastAsia="zh-CN"/>
        </w:rPr>
        <w:t>第三，经验模式层面，测度显示样本期企业数字化水平逐年显著上升、技术结构以数字技术应用与大数据为主、大企业与高研发企业数字化叙述更密集。这些模式与既有文献和宏观事实方向一致，间接支持了测度的外部有效性。</w:t>
      </w:r>
    </w:p>
    <w:p>
      <w:bookmarkStart w:id="41" w:name="_Toc_42_____"/>
      <w:bookmarkStart w:id="19" w:name="42局限与展望"/>
      <w:pPr>
        <w:pStyle w:val="Heading3"/>
      </w:pPr>
      <w:bookmarkEnd w:id="19"/>
      <w:r>
        <w:rPr>
          <w:rFonts w:ascii="宋体" w:hAnsi="宋体" w:eastAsia="宋体" w:cs="宋体" w:hint="eastAsia"/>
          <w:sz w:val="24"/>
          <w:lang w:eastAsia="zh-CN"/>
        </w:rPr>
        <w:t>4.2 局限与展望</w:t>
      </w:r>
      <w:bookmarkEnd w:id="41"/>
    </w:p>
    <w:p>
      <w:pPr>
        <w:ind w:firstLine="480"/>
        <w:jc w:val="both"/>
      </w:pPr>
      <w:r>
        <w:rPr>
          <w:rFonts w:ascii="宋体" w:hAnsi="宋体" w:eastAsia="宋体" w:cs="宋体" w:hint="eastAsia"/>
          <w:lang w:eastAsia="zh-CN"/>
        </w:rPr>
        <w:t>本文存在以下局限：其一，语料为程序生成的模拟数据，虽然内置了合理的统计结构，但真实年报的句式复杂度、噪声水平远高于模拟语料，测度在真实语料上的表现仍需检验；其二，词典法只能捕捉</w:t>
      </w:r>
      <w:r>
        <w:rPr>
          <w:rFonts w:ascii="黑体" w:hAnsi="黑体"/>
        </w:rPr>
        <w:t>"</w:t>
      </w:r>
      <w:r>
        <w:rPr>
          <w:rFonts w:ascii="宋体" w:hAnsi="宋体" w:eastAsia="宋体" w:cs="宋体" w:hint="eastAsia"/>
          <w:lang w:eastAsia="zh-CN"/>
        </w:rPr>
        <w:t>被词典覆盖</w:t>
      </w:r>
      <w:r>
        <w:rPr>
          <w:rFonts w:ascii="黑体" w:hAnsi="黑体"/>
        </w:rPr>
        <w:t>"</w:t>
      </w:r>
      <w:r>
        <w:rPr>
          <w:rFonts w:ascii="宋体" w:hAnsi="宋体" w:eastAsia="宋体" w:cs="宋体" w:hint="eastAsia"/>
          <w:lang w:eastAsia="zh-CN"/>
        </w:rPr>
        <w:t>的词汇，对新出现的技术术语（如大模型相关新词）存在滞后性，且无法识别语义词</w:t>
      </w:r>
      <w:r>
        <w:rPr>
          <w:rFonts w:ascii="黑体" w:hAnsi="黑体"/>
        </w:rPr>
        <w:t>——"</w:t>
      </w:r>
      <w:r>
        <w:rPr>
          <w:rFonts w:ascii="宋体" w:hAnsi="宋体" w:eastAsia="宋体" w:cs="宋体" w:hint="eastAsia"/>
          <w:lang w:eastAsia="zh-CN"/>
        </w:rPr>
        <w:t>强调数字化</w:t>
      </w:r>
      <w:r>
        <w:rPr>
          <w:rFonts w:ascii="黑体" w:hAnsi="黑体"/>
        </w:rPr>
        <w:t>"</w:t>
      </w:r>
      <w:r>
        <w:rPr>
          <w:rFonts w:ascii="宋体" w:hAnsi="宋体" w:eastAsia="宋体" w:cs="宋体" w:hint="eastAsia"/>
          <w:lang w:eastAsia="zh-CN"/>
        </w:rPr>
        <w:t>不等于</w:t>
      </w:r>
      <w:r>
        <w:rPr>
          <w:rFonts w:ascii="黑体" w:hAnsi="黑体"/>
        </w:rPr>
        <w:t>"</w:t>
      </w:r>
      <w:r>
        <w:rPr>
          <w:rFonts w:ascii="宋体" w:hAnsi="宋体" w:eastAsia="宋体" w:cs="宋体" w:hint="eastAsia"/>
          <w:lang w:eastAsia="zh-CN"/>
        </w:rPr>
        <w:t>实施数字化</w:t>
      </w:r>
      <w:r>
        <w:rPr>
          <w:rFonts w:ascii="黑体" w:hAnsi="黑体"/>
        </w:rPr>
        <w:t>"</w:t>
      </w:r>
      <w:r>
        <w:rPr>
          <w:rFonts w:ascii="宋体" w:hAnsi="宋体" w:eastAsia="宋体" w:cs="宋体" w:hint="eastAsia"/>
          <w:lang w:eastAsia="zh-CN"/>
        </w:rPr>
        <w:t>，存在叙事夸大偏差的可能；其三，预演样本量与行业覆盖有限，回归结论仅用于演示流程，不构成对真实经济关系的推断。</w:t>
      </w:r>
    </w:p>
    <w:p>
      <w:pPr>
        <w:ind w:firstLine="480"/>
        <w:jc w:val="both"/>
      </w:pPr>
      <w:r>
        <w:rPr>
          <w:rFonts w:ascii="宋体" w:hAnsi="宋体" w:eastAsia="宋体" w:cs="宋体" w:hint="eastAsia"/>
          <w:lang w:eastAsia="zh-CN"/>
        </w:rPr>
        <w:t>未来可从三方面推进：第一，将流水线接入真实年报语料（巨潮资讯网），用同一套代码复现并对比测度分布；第二，引入词嵌入或大语言模型辅助扩充词典、识别新词，并结合年报披露内容抽查验证</w:t>
      </w:r>
      <w:r>
        <w:rPr>
          <w:rFonts w:ascii="黑体" w:hAnsi="黑体"/>
        </w:rPr>
        <w:t>"</w:t>
      </w:r>
      <w:r>
        <w:rPr>
          <w:rFonts w:ascii="宋体" w:hAnsi="宋体" w:eastAsia="宋体" w:cs="宋体" w:hint="eastAsia"/>
          <w:lang w:eastAsia="zh-CN"/>
        </w:rPr>
        <w:t>叙事</w:t>
      </w:r>
      <w:r>
        <w:rPr>
          <w:rFonts w:ascii="黑体" w:hAnsi="黑体"/>
        </w:rPr>
        <w:t>—</w:t>
      </w:r>
      <w:r>
        <w:rPr>
          <w:rFonts w:ascii="宋体" w:hAnsi="宋体" w:eastAsia="宋体" w:cs="宋体" w:hint="eastAsia"/>
          <w:lang w:eastAsia="zh-CN"/>
        </w:rPr>
        <w:t>行为</w:t>
      </w:r>
      <w:r>
        <w:rPr>
          <w:rFonts w:ascii="黑体" w:hAnsi="黑体"/>
        </w:rPr>
        <w:t>"</w:t>
      </w:r>
      <w:r>
        <w:rPr>
          <w:rFonts w:ascii="宋体" w:hAnsi="宋体" w:eastAsia="宋体" w:cs="宋体" w:hint="eastAsia"/>
          <w:lang w:eastAsia="zh-CN"/>
        </w:rPr>
        <w:t>一致性；第三，在测度基础上开展正式的因果研究，如以数字经济政策冲击作为工具变量考察数字化转型对企业生产率的影响。全部代码、词典、中间结果与数据来源说明已开源（见</w:t>
      </w:r>
      <w:r>
        <w:rPr>
          <w:rFonts w:ascii="黑体" w:hAnsi="黑体"/>
        </w:rPr>
        <w:t>GitHub</w:t>
      </w:r>
      <w:r>
        <w:rPr>
          <w:rFonts w:ascii="宋体" w:hAnsi="宋体" w:eastAsia="宋体" w:cs="宋体" w:hint="eastAsia"/>
          <w:lang w:eastAsia="zh-CN"/>
        </w:rPr>
        <w:t>仓库），欢迎复用与指正。</w:t>
      </w:r>
      <w:r/>
    </w:p>
    <w:p>
      <w:bookmarkStart w:id="42" w:name="_Toc_____"/>
      <w:bookmarkStart w:id="20" w:name="参考文献"/>
      <w:pPr>
        <w:pStyle w:val="Heading2"/>
      </w:pPr>
      <w:bookmarkEnd w:id="20"/>
      <w:r>
        <w:rPr>
          <w:rFonts w:ascii="宋体" w:hAnsi="宋体" w:eastAsia="宋体" w:cs="宋体" w:hint="eastAsia"/>
          <w:sz w:val="28"/>
          <w:lang w:eastAsia="zh-CN"/>
        </w:rPr>
        <w:t>参考文献</w:t>
      </w:r>
      <w:bookmarkEnd w:id="42"/>
    </w:p>
    <w:p>
      <w:pPr>
        <w:ind w:firstLine="480"/>
        <w:jc w:val="both"/>
      </w:pPr>
      <w:r>
        <w:rPr>
          <w:rFonts w:ascii="黑体" w:hAnsi="黑体"/>
        </w:rPr>
        <w:t xml:space="preserve">[1] </w:t>
      </w:r>
      <w:r>
        <w:rPr>
          <w:rFonts w:ascii="宋体" w:hAnsi="宋体" w:eastAsia="宋体" w:cs="宋体" w:hint="eastAsia"/>
          <w:lang w:eastAsia="zh-CN"/>
        </w:rPr>
        <w:t>吴非，</w:t>
      </w:r>
      <w:r>
        <w:rPr>
          <w:rFonts w:ascii="黑体" w:hAnsi="黑体"/>
        </w:rPr>
        <w:t xml:space="preserve"> </w:t>
      </w:r>
      <w:r>
        <w:rPr>
          <w:rFonts w:ascii="宋体" w:hAnsi="宋体" w:eastAsia="宋体" w:cs="宋体" w:hint="eastAsia"/>
          <w:lang w:eastAsia="zh-CN"/>
        </w:rPr>
        <w:t>胡慧芷，</w:t>
      </w:r>
      <w:r>
        <w:rPr>
          <w:rFonts w:ascii="黑体" w:hAnsi="黑体"/>
        </w:rPr>
        <w:t xml:space="preserve"> </w:t>
      </w:r>
      <w:r>
        <w:rPr>
          <w:rFonts w:ascii="宋体" w:hAnsi="宋体" w:eastAsia="宋体" w:cs="宋体" w:hint="eastAsia"/>
          <w:lang w:eastAsia="zh-CN"/>
        </w:rPr>
        <w:t>林慧妍，</w:t>
      </w:r>
      <w:r>
        <w:rPr>
          <w:rFonts w:ascii="黑体" w:hAnsi="黑体"/>
        </w:rPr>
        <w:t xml:space="preserve"> </w:t>
      </w:r>
      <w:r>
        <w:rPr>
          <w:rFonts w:ascii="宋体" w:hAnsi="宋体" w:eastAsia="宋体" w:cs="宋体" w:hint="eastAsia"/>
          <w:lang w:eastAsia="zh-CN"/>
        </w:rPr>
        <w:t>任晓怡</w:t>
      </w:r>
      <w:r>
        <w:rPr>
          <w:rFonts w:ascii="黑体" w:hAnsi="黑体"/>
        </w:rPr>
        <w:t xml:space="preserve">. </w:t>
      </w:r>
      <w:r>
        <w:rPr>
          <w:rFonts w:ascii="宋体" w:hAnsi="宋体" w:eastAsia="宋体" w:cs="宋体" w:hint="eastAsia"/>
          <w:lang w:eastAsia="zh-CN"/>
        </w:rPr>
        <w:t>企业数字化转型与资本市场表现</w:t>
      </w:r>
      <w:r>
        <w:rPr>
          <w:rFonts w:ascii="黑体" w:hAnsi="黑体"/>
        </w:rPr>
        <w:t>——</w:t>
      </w:r>
      <w:r>
        <w:rPr>
          <w:rFonts w:ascii="宋体" w:hAnsi="宋体" w:eastAsia="宋体" w:cs="宋体" w:hint="eastAsia"/>
          <w:lang w:eastAsia="zh-CN"/>
        </w:rPr>
        <w:t>来自股票流动性的经验证据</w:t>
      </w:r>
      <w:r>
        <w:rPr>
          <w:rFonts w:ascii="黑体" w:hAnsi="黑体"/>
        </w:rPr>
        <w:t xml:space="preserve">[J]. </w:t>
      </w:r>
      <w:r>
        <w:rPr>
          <w:rFonts w:ascii="宋体" w:hAnsi="宋体" w:eastAsia="宋体" w:cs="宋体" w:hint="eastAsia"/>
          <w:lang w:eastAsia="zh-CN"/>
        </w:rPr>
        <w:t>管理世界，</w:t>
      </w:r>
      <w:r>
        <w:rPr>
          <w:rFonts w:ascii="黑体" w:hAnsi="黑体"/>
        </w:rPr>
        <w:t xml:space="preserve"> 2021, 37(7): 130-144.</w:t>
      </w:r>
    </w:p>
    <w:p>
      <w:pPr>
        <w:ind w:firstLine="480"/>
        <w:jc w:val="both"/>
      </w:pPr>
      <w:r>
        <w:rPr>
          <w:rFonts w:ascii="黑体" w:hAnsi="黑体"/>
        </w:rPr>
        <w:t xml:space="preserve">[2] </w:t>
      </w:r>
      <w:r>
        <w:rPr>
          <w:rFonts w:ascii="宋体" w:hAnsi="宋体" w:eastAsia="宋体" w:cs="宋体" w:hint="eastAsia"/>
          <w:lang w:eastAsia="zh-CN"/>
        </w:rPr>
        <w:t>袁淳，</w:t>
      </w:r>
      <w:r>
        <w:rPr>
          <w:rFonts w:ascii="黑体" w:hAnsi="黑体"/>
        </w:rPr>
        <w:t xml:space="preserve"> </w:t>
      </w:r>
      <w:r>
        <w:rPr>
          <w:rFonts w:ascii="宋体" w:hAnsi="宋体" w:eastAsia="宋体" w:cs="宋体" w:hint="eastAsia"/>
          <w:lang w:eastAsia="zh-CN"/>
        </w:rPr>
        <w:t>肖土盛，</w:t>
      </w:r>
      <w:r>
        <w:rPr>
          <w:rFonts w:ascii="黑体" w:hAnsi="黑体"/>
        </w:rPr>
        <w:t xml:space="preserve"> </w:t>
      </w:r>
      <w:r>
        <w:rPr>
          <w:rFonts w:ascii="宋体" w:hAnsi="宋体" w:eastAsia="宋体" w:cs="宋体" w:hint="eastAsia"/>
          <w:lang w:eastAsia="zh-CN"/>
        </w:rPr>
        <w:t>耿春晓，</w:t>
      </w:r>
      <w:r>
        <w:rPr>
          <w:rFonts w:ascii="黑体" w:hAnsi="黑体"/>
        </w:rPr>
        <w:t xml:space="preserve"> </w:t>
      </w:r>
      <w:r>
        <w:rPr>
          <w:rFonts w:ascii="宋体" w:hAnsi="宋体" w:eastAsia="宋体" w:cs="宋体" w:hint="eastAsia"/>
          <w:lang w:eastAsia="zh-CN"/>
        </w:rPr>
        <w:t>盛誉</w:t>
      </w:r>
      <w:r>
        <w:rPr>
          <w:rFonts w:ascii="黑体" w:hAnsi="黑体"/>
        </w:rPr>
        <w:t xml:space="preserve">. </w:t>
      </w:r>
      <w:r>
        <w:rPr>
          <w:rFonts w:ascii="宋体" w:hAnsi="宋体" w:eastAsia="宋体" w:cs="宋体" w:hint="eastAsia"/>
          <w:lang w:eastAsia="zh-CN"/>
        </w:rPr>
        <w:t>数字化转型与企业分工：专业化还是纵向一体化</w:t>
      </w:r>
      <w:r>
        <w:rPr>
          <w:rFonts w:ascii="黑体" w:hAnsi="黑体"/>
        </w:rPr>
        <w:t xml:space="preserve">[J]. </w:t>
      </w:r>
      <w:r>
        <w:rPr>
          <w:rFonts w:ascii="宋体" w:hAnsi="宋体" w:eastAsia="宋体" w:cs="宋体" w:hint="eastAsia"/>
          <w:lang w:eastAsia="zh-CN"/>
        </w:rPr>
        <w:t>中国工业经济，</w:t>
      </w:r>
      <w:r>
        <w:rPr>
          <w:rFonts w:ascii="黑体" w:hAnsi="黑体"/>
        </w:rPr>
        <w:t xml:space="preserve"> 2021(9): 137-155.</w:t>
      </w:r>
    </w:p>
    <w:p>
      <w:pPr>
        <w:ind w:firstLine="480"/>
        <w:jc w:val="both"/>
      </w:pPr>
      <w:r>
        <w:rPr>
          <w:rFonts w:ascii="黑体" w:hAnsi="黑体"/>
        </w:rPr>
        <w:t xml:space="preserve">[3] </w:t>
      </w:r>
      <w:r>
        <w:rPr>
          <w:rFonts w:ascii="宋体" w:hAnsi="宋体" w:eastAsia="宋体" w:cs="宋体" w:hint="eastAsia"/>
          <w:lang w:eastAsia="zh-CN"/>
        </w:rPr>
        <w:t>赵宸宇，</w:t>
      </w:r>
      <w:r>
        <w:rPr>
          <w:rFonts w:ascii="黑体" w:hAnsi="黑体"/>
        </w:rPr>
        <w:t xml:space="preserve"> </w:t>
      </w:r>
      <w:r>
        <w:rPr>
          <w:rFonts w:ascii="宋体" w:hAnsi="宋体" w:eastAsia="宋体" w:cs="宋体" w:hint="eastAsia"/>
          <w:lang w:eastAsia="zh-CN"/>
        </w:rPr>
        <w:t>王文春，</w:t>
      </w:r>
      <w:r>
        <w:rPr>
          <w:rFonts w:ascii="黑体" w:hAnsi="黑体"/>
        </w:rPr>
        <w:t xml:space="preserve"> </w:t>
      </w:r>
      <w:r>
        <w:rPr>
          <w:rFonts w:ascii="宋体" w:hAnsi="宋体" w:eastAsia="宋体" w:cs="宋体" w:hint="eastAsia"/>
          <w:lang w:eastAsia="zh-CN"/>
        </w:rPr>
        <w:t>李雪松</w:t>
      </w:r>
      <w:r>
        <w:rPr>
          <w:rFonts w:ascii="黑体" w:hAnsi="黑体"/>
        </w:rPr>
        <w:t xml:space="preserve">. </w:t>
      </w:r>
      <w:r>
        <w:rPr>
          <w:rFonts w:ascii="宋体" w:hAnsi="宋体" w:eastAsia="宋体" w:cs="宋体" w:hint="eastAsia"/>
          <w:lang w:eastAsia="zh-CN"/>
        </w:rPr>
        <w:t>数字化转型如何影响企业全要素生产率</w:t>
      </w:r>
      <w:r>
        <w:rPr>
          <w:rFonts w:ascii="黑体" w:hAnsi="黑体"/>
        </w:rPr>
        <w:t xml:space="preserve">[J]. </w:t>
      </w:r>
      <w:r>
        <w:rPr>
          <w:rFonts w:ascii="宋体" w:hAnsi="宋体" w:eastAsia="宋体" w:cs="宋体" w:hint="eastAsia"/>
          <w:lang w:eastAsia="zh-CN"/>
        </w:rPr>
        <w:t>财贸经济，</w:t>
      </w:r>
      <w:r>
        <w:rPr>
          <w:rFonts w:ascii="黑体" w:hAnsi="黑体"/>
        </w:rPr>
        <w:t xml:space="preserve"> 2021, 42(7): 114-129.</w:t>
      </w:r>
    </w:p>
    <w:p>
      <w:pPr>
        <w:ind w:firstLine="480"/>
        <w:jc w:val="both"/>
      </w:pPr>
      <w:r>
        <w:rPr>
          <w:rFonts w:ascii="黑体" w:hAnsi="黑体"/>
        </w:rPr>
        <w:t>[4] Loughran T, McDonald B. When is a liability not a liability? Textual analysis, dictionaries, and 10-Ks[J]. Journal of Finance, 2011, 66(1): 35-65.</w:t>
      </w:r>
    </w:p>
    <w:p>
      <w:pPr>
        <w:ind w:firstLine="480"/>
        <w:jc w:val="both"/>
      </w:pPr>
      <w:r>
        <w:rPr>
          <w:rFonts w:ascii="黑体" w:hAnsi="黑体"/>
        </w:rPr>
        <w:t>[5] Gentzkow M, Kelly B, Taddy M. Text as data[J]. Journal of Economic Literature, 2019, 57(3): 535-574.</w:t>
      </w:r>
    </w:p>
    <w:p>
      <w:pPr>
        <w:ind w:firstLine="480"/>
        <w:jc w:val="both"/>
      </w:pPr>
      <w:r>
        <w:rPr>
          <w:rFonts w:ascii="黑体" w:hAnsi="黑体"/>
        </w:rPr>
        <w:t xml:space="preserve">[6] </w:t>
      </w:r>
      <w:r>
        <w:rPr>
          <w:rFonts w:ascii="宋体" w:hAnsi="宋体" w:eastAsia="宋体" w:cs="宋体" w:hint="eastAsia"/>
          <w:lang w:eastAsia="zh-CN"/>
        </w:rPr>
        <w:t>黄萃，</w:t>
      </w:r>
      <w:r>
        <w:rPr>
          <w:rFonts w:ascii="黑体" w:hAnsi="黑体"/>
        </w:rPr>
        <w:t xml:space="preserve"> </w:t>
      </w:r>
      <w:r>
        <w:rPr>
          <w:rFonts w:ascii="宋体" w:hAnsi="宋体" w:eastAsia="宋体" w:cs="宋体" w:hint="eastAsia"/>
          <w:lang w:eastAsia="zh-CN"/>
        </w:rPr>
        <w:t>任弢，</w:t>
      </w:r>
      <w:r>
        <w:rPr>
          <w:rFonts w:ascii="黑体" w:hAnsi="黑体"/>
        </w:rPr>
        <w:t xml:space="preserve"> </w:t>
      </w:r>
      <w:r>
        <w:rPr>
          <w:rFonts w:ascii="宋体" w:hAnsi="宋体" w:eastAsia="宋体" w:cs="宋体" w:hint="eastAsia"/>
          <w:lang w:eastAsia="zh-CN"/>
        </w:rPr>
        <w:t>张剑</w:t>
      </w:r>
      <w:r>
        <w:rPr>
          <w:rFonts w:ascii="黑体" w:hAnsi="黑体"/>
        </w:rPr>
        <w:t xml:space="preserve">. </w:t>
      </w:r>
      <w:r>
        <w:rPr>
          <w:rFonts w:ascii="宋体" w:hAnsi="宋体" w:eastAsia="宋体" w:cs="宋体" w:hint="eastAsia"/>
          <w:lang w:eastAsia="zh-CN"/>
        </w:rPr>
        <w:t>基于关键词分析的文献计量方法述评</w:t>
      </w:r>
      <w:r>
        <w:rPr>
          <w:rFonts w:ascii="黑体" w:hAnsi="黑体"/>
        </w:rPr>
        <w:t xml:space="preserve">[J]. </w:t>
      </w:r>
      <w:r>
        <w:rPr>
          <w:rFonts w:ascii="宋体" w:hAnsi="宋体" w:eastAsia="宋体" w:cs="宋体" w:hint="eastAsia"/>
          <w:lang w:eastAsia="zh-CN"/>
        </w:rPr>
        <w:t>情报学报（方法综述类），</w:t>
      </w:r>
      <w:r>
        <w:rPr>
          <w:rFonts w:ascii="黑体" w:hAnsi="黑体"/>
        </w:rPr>
        <w:t xml:space="preserve"> 2015.</w:t>
      </w:r>
    </w:p>
    <w:p>
      <w:pPr>
        <w:ind w:firstLine="480"/>
        <w:jc w:val="both"/>
      </w:pPr>
      <w:r>
        <w:rPr>
          <w:rFonts w:ascii="黑体" w:hAnsi="黑体"/>
        </w:rPr>
        <w:t xml:space="preserve">[7] </w:t>
      </w:r>
      <w:r>
        <w:rPr>
          <w:rFonts w:ascii="宋体" w:hAnsi="宋体" w:eastAsia="宋体" w:cs="宋体" w:hint="eastAsia"/>
          <w:lang w:eastAsia="zh-CN"/>
        </w:rPr>
        <w:t>中华人民共和国国务院</w:t>
      </w:r>
      <w:r>
        <w:rPr>
          <w:rFonts w:ascii="黑体" w:hAnsi="黑体"/>
        </w:rPr>
        <w:t>. "</w:t>
      </w:r>
      <w:r>
        <w:rPr>
          <w:rFonts w:ascii="宋体" w:hAnsi="宋体" w:eastAsia="宋体" w:cs="宋体" w:hint="eastAsia"/>
          <w:lang w:eastAsia="zh-CN"/>
        </w:rPr>
        <w:t>十四五</w:t>
      </w:r>
      <w:r>
        <w:rPr>
          <w:rFonts w:ascii="黑体" w:hAnsi="黑体"/>
        </w:rPr>
        <w:t>"</w:t>
      </w:r>
      <w:r>
        <w:rPr>
          <w:rFonts w:ascii="宋体" w:hAnsi="宋体" w:eastAsia="宋体" w:cs="宋体" w:hint="eastAsia"/>
          <w:lang w:eastAsia="zh-CN"/>
        </w:rPr>
        <w:t>数字经济发展规划</w:t>
      </w:r>
      <w:r>
        <w:rPr>
          <w:rFonts w:ascii="黑体" w:hAnsi="黑体"/>
        </w:rPr>
        <w:t>[Z]. 2022.</w:t>
      </w:r>
      <w:r/>
    </w:p>
    <w:p>
      <w:bookmarkStart w:id="43" w:name="_Toc___A__________"/>
      <w:bookmarkStart w:id="21" w:name="附录A数据来源说明一句话版"/>
      <w:pPr>
        <w:pStyle w:val="Heading2"/>
      </w:pPr>
      <w:bookmarkEnd w:id="21"/>
      <w:r>
        <w:rPr>
          <w:rFonts w:ascii="宋体" w:hAnsi="宋体" w:eastAsia="宋体" w:cs="宋体" w:hint="eastAsia"/>
          <w:sz w:val="28"/>
          <w:lang w:eastAsia="zh-CN"/>
        </w:rPr>
        <w:t>附录A 数据来源说明（一句话版）</w:t>
      </w:r>
      <w:bookmarkEnd w:id="43"/>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文件</w:t>
            </w:r>
          </w:p>
        </w:tc>
        <w:tc>
          <w:tcPr>
            <w:tcW w:type="dxa" w:w="4320"/>
            <w:tcBorders>
              <w:top w:val="single" w:sz="12" w:space="0" w:color="333333"/>
              <w:bottom w:val="single" w:sz="6" w:space="0" w:color="333333"/>
            </w:tcBorders>
            <w:vAlign w:val="center"/>
            <w:tcMar>
              <w:top w:w="80" w:type="dxa"/>
              <w:bottom w:w="80" w:type="dxa"/>
              <w:left w:w="120" w:type="dxa"/>
              <w:right w:w="120" w:type="dxa"/>
            </w:tcMar>
          </w:tcPr>
          <w:p>
            <w:pPr>
              <w:jc w:val="center"/>
              <w:spacing w:line="240" w:lineRule="auto" w:before="60" w:after="60"/>
            </w:pPr>
            <w:r>
              <w:rPr>
                <w:rFonts w:ascii="黑体" w:hAnsi="黑体" w:eastAsia="黑体" w:hint="eastAsia"/>
                <w:b/>
              </w:rPr>
              <w:t>来源与处理步骤（一句话）</w:t>
            </w:r>
          </w:p>
        </w:tc>
      </w:tr>
      <w:tr>
        <w:tc>
          <w:tcPr>
            <w:tcW w:type="dxa" w:w="4320"/>
            <w:vAlign w:val="center"/>
            <w:tcMar>
              <w:top w:w="60" w:type="dxa"/>
              <w:bottom w:w="60" w:type="dxa"/>
              <w:left w:w="120" w:type="dxa"/>
              <w:right w:w="120" w:type="dxa"/>
            </w:tcMar>
          </w:tcPr>
          <w:p>
            <w:pPr>
              <w:jc w:val="left"/>
              <w:spacing w:line="240" w:lineRule="auto" w:before="60" w:after="60"/>
            </w:pPr>
            <w:r>
              <w:t>data/corpus/*.txt</w:t>
            </w:r>
          </w:p>
        </w:tc>
        <w:tc>
          <w:tcPr>
            <w:tcW w:type="dxa" w:w="4320"/>
            <w:vAlign w:val="center"/>
            <w:tcMar>
              <w:top w:w="60" w:type="dxa"/>
              <w:bottom w:w="60" w:type="dxa"/>
              <w:left w:w="120" w:type="dxa"/>
              <w:right w:w="120" w:type="dxa"/>
            </w:tcMar>
          </w:tcPr>
          <w:p>
            <w:pPr>
              <w:jc w:val="center"/>
              <w:spacing w:line="240" w:lineRule="auto" w:before="60" w:after="60"/>
            </w:pPr>
            <w:r>
              <w:t>由</w:t>
            </w:r>
            <w:r>
              <w:t xml:space="preserve"> </w:t>
            </w:r>
            <w:r>
              <w:t xml:space="preserve"> simulate_corpus.py </w:t>
            </w:r>
            <w:r>
              <w:t xml:space="preserve"> </w:t>
            </w:r>
            <w:r>
              <w:t>程序生成的模拟年报</w:t>
            </w:r>
            <w:r>
              <w:t xml:space="preserve"> </w:t>
            </w:r>
            <w:r>
              <w:t>"MD&amp;A"</w:t>
            </w:r>
            <w:r>
              <w:t xml:space="preserve"> </w:t>
            </w:r>
            <w:r>
              <w:t>文本（真实场景应替换为巨潮资讯网下载并经</w:t>
            </w:r>
            <w:r>
              <w:t xml:space="preserve"> </w:t>
            </w:r>
            <w:r>
              <w:t>pdfplumber</w:t>
            </w:r>
            <w:r>
              <w:t xml:space="preserve"> </w:t>
            </w:r>
            <w:r>
              <w:t>解析的年报纯文本），每文件对应一家公司某一年份</w:t>
            </w:r>
          </w:p>
        </w:tc>
      </w:tr>
      <w:tr>
        <w:tc>
          <w:tcPr>
            <w:tcW w:type="dxa" w:w="4320"/>
            <w:vAlign w:val="center"/>
            <w:tcMar>
              <w:top w:w="60" w:type="dxa"/>
              <w:bottom w:w="60" w:type="dxa"/>
              <w:left w:w="120" w:type="dxa"/>
              <w:right w:w="120" w:type="dxa"/>
            </w:tcMar>
          </w:tcPr>
          <w:p>
            <w:pPr>
              <w:jc w:val="left"/>
              <w:spacing w:line="240" w:lineRule="auto" w:before="60" w:after="60"/>
            </w:pPr>
            <w:r>
              <w:t>data/firm_covariates.csv</w:t>
            </w:r>
          </w:p>
        </w:tc>
        <w:tc>
          <w:tcPr>
            <w:tcW w:type="dxa" w:w="4320"/>
            <w:vAlign w:val="center"/>
            <w:tcMar>
              <w:top w:w="60" w:type="dxa"/>
              <w:bottom w:w="60" w:type="dxa"/>
              <w:left w:w="120" w:type="dxa"/>
              <w:right w:w="120" w:type="dxa"/>
            </w:tcMar>
          </w:tcPr>
          <w:p>
            <w:pPr>
              <w:jc w:val="center"/>
              <w:spacing w:line="240" w:lineRule="auto" w:before="60" w:after="60"/>
            </w:pPr>
            <w:r>
              <w:t>由</w:t>
            </w:r>
            <w:r>
              <w:t xml:space="preserve"> </w:t>
            </w:r>
            <w:r>
              <w:t xml:space="preserve"> simulate_corpus.py </w:t>
            </w:r>
            <w:r>
              <w:t xml:space="preserve"> </w:t>
            </w:r>
            <w:r>
              <w:t>同步生成的企业</w:t>
            </w:r>
            <w:r>
              <w:t xml:space="preserve"> </w:t>
            </w:r>
            <w:r>
              <w:t>—</w:t>
            </w:r>
            <w:r>
              <w:t xml:space="preserve"> </w:t>
            </w:r>
            <w:r>
              <w:t>年份财务协变量（规模、杠杆、</w:t>
            </w:r>
            <w:r>
              <w:t xml:space="preserve"> </w:t>
            </w:r>
            <w:r>
              <w:t>ROA</w:t>
            </w:r>
            <w:r>
              <w:t xml:space="preserve"> </w:t>
            </w:r>
            <w:r>
              <w:t>、研发强度、行业），模拟自合理取值范围</w:t>
            </w:r>
          </w:p>
        </w:tc>
      </w:tr>
      <w:tr>
        <w:tc>
          <w:tcPr>
            <w:tcW w:type="dxa" w:w="4320"/>
            <w:vAlign w:val="center"/>
            <w:tcMar>
              <w:top w:w="60" w:type="dxa"/>
              <w:bottom w:w="60" w:type="dxa"/>
              <w:left w:w="120" w:type="dxa"/>
              <w:right w:w="120" w:type="dxa"/>
            </w:tcMar>
          </w:tcPr>
          <w:p>
            <w:pPr>
              <w:jc w:val="left"/>
              <w:spacing w:line="240" w:lineRule="auto" w:before="60" w:after="60"/>
            </w:pPr>
            <w:r>
              <w:t>output/dt_wordfreq.csv</w:t>
            </w:r>
          </w:p>
        </w:tc>
        <w:tc>
          <w:tcPr>
            <w:tcW w:type="dxa" w:w="4320"/>
            <w:vAlign w:val="center"/>
            <w:tcMar>
              <w:top w:w="60" w:type="dxa"/>
              <w:bottom w:w="60" w:type="dxa"/>
              <w:left w:w="120" w:type="dxa"/>
              <w:right w:w="120" w:type="dxa"/>
            </w:tcMar>
          </w:tcPr>
          <w:p>
            <w:pPr>
              <w:jc w:val="center"/>
              <w:spacing w:line="240" w:lineRule="auto" w:before="60" w:after="60"/>
            </w:pPr>
            <w:r>
              <w:t>由</w:t>
            </w:r>
            <w:r>
              <w:t xml:space="preserve"> </w:t>
            </w:r>
            <w:r>
              <w:t xml:space="preserve"> pipeline.py </w:t>
            </w:r>
            <w:r>
              <w:t xml:space="preserve"> </w:t>
            </w:r>
            <w:r>
              <w:t>第四步词典匹配输出的五维数字化关键词词频明细</w:t>
            </w:r>
          </w:p>
        </w:tc>
      </w:tr>
      <w:tr>
        <w:tc>
          <w:tcPr>
            <w:tcW w:type="dxa" w:w="4320"/>
            <w:vAlign w:val="center"/>
            <w:tcMar>
              <w:top w:w="60" w:type="dxa"/>
              <w:bottom w:w="60" w:type="dxa"/>
              <w:left w:w="120" w:type="dxa"/>
              <w:right w:w="120" w:type="dxa"/>
            </w:tcMar>
          </w:tcPr>
          <w:p>
            <w:pPr>
              <w:jc w:val="left"/>
              <w:spacing w:line="240" w:lineRule="auto" w:before="60" w:after="60"/>
            </w:pPr>
            <w:r>
              <w:t>output/panel_digital_transformation.csv</w:t>
            </w:r>
          </w:p>
        </w:tc>
        <w:tc>
          <w:tcPr>
            <w:tcW w:type="dxa" w:w="4320"/>
            <w:vAlign w:val="center"/>
            <w:tcMar>
              <w:top w:w="60" w:type="dxa"/>
              <w:bottom w:w="60" w:type="dxa"/>
              <w:left w:w="120" w:type="dxa"/>
              <w:right w:w="120" w:type="dxa"/>
            </w:tcMar>
          </w:tcPr>
          <w:p>
            <w:pPr>
              <w:jc w:val="center"/>
              <w:spacing w:line="240" w:lineRule="auto" w:before="60" w:after="60"/>
            </w:pPr>
            <w:r>
              <w:t>由</w:t>
            </w:r>
            <w:r>
              <w:t xml:space="preserve"> </w:t>
            </w:r>
            <w:r>
              <w:t xml:space="preserve"> pipeline.py </w:t>
            </w:r>
            <w:r>
              <w:t xml:space="preserve"> </w:t>
            </w:r>
            <w:r>
              <w:t>第五步输出的主交付物：企业</w:t>
            </w:r>
            <w:r>
              <w:t xml:space="preserve"> </w:t>
            </w:r>
            <w:r>
              <w:t>—</w:t>
            </w:r>
            <w:r>
              <w:t xml:space="preserve"> </w:t>
            </w:r>
            <w:r>
              <w:t>年份面板（</w:t>
            </w:r>
            <w:r>
              <w:t xml:space="preserve"> </w:t>
            </w:r>
            <w:r>
              <w:t>DT</w:t>
            </w:r>
            <w:r>
              <w:t xml:space="preserve"> </w:t>
            </w:r>
            <w:r>
              <w:t>主测度、计数口径、五维词频与占比）</w:t>
            </w:r>
          </w:p>
        </w:tc>
      </w:tr>
      <w:tr>
        <w:tc>
          <w:tcPr>
            <w:tcW w:type="dxa" w:w="4320"/>
            <w:tcBorders>
              <w:bottom w:val="single" w:sz="12" w:space="0" w:color="333333"/>
            </w:tcBorders>
            <w:vAlign w:val="center"/>
            <w:tcMar>
              <w:top w:w="60" w:type="dxa"/>
              <w:bottom w:w="60" w:type="dxa"/>
              <w:left w:w="120" w:type="dxa"/>
              <w:right w:w="120" w:type="dxa"/>
            </w:tcMar>
          </w:tcPr>
          <w:p>
            <w:pPr>
              <w:jc w:val="left"/>
              <w:spacing w:line="240" w:lineRule="auto" w:before="60" w:after="60"/>
            </w:pPr>
            <w:r>
              <w:t xml:space="preserve">output/desc_stats_by_year.csv </w:t>
            </w:r>
            <w:r>
              <w:t xml:space="preserve"> </w:t>
            </w:r>
            <w:r>
              <w:t>等</w:t>
            </w:r>
          </w:p>
        </w:tc>
        <w:tc>
          <w:tcPr>
            <w:tcW w:type="dxa" w:w="4320"/>
            <w:tcBorders>
              <w:bottom w:val="single" w:sz="12" w:space="0" w:color="333333"/>
            </w:tcBorders>
            <w:vAlign w:val="center"/>
            <w:tcMar>
              <w:top w:w="60" w:type="dxa"/>
              <w:bottom w:w="60" w:type="dxa"/>
              <w:left w:w="120" w:type="dxa"/>
              <w:right w:w="120" w:type="dxa"/>
            </w:tcMar>
          </w:tcPr>
          <w:p>
            <w:pPr>
              <w:jc w:val="center"/>
              <w:spacing w:line="240" w:lineRule="auto" w:before="60" w:after="60"/>
            </w:pPr>
            <w:r>
              <w:t>由</w:t>
            </w:r>
            <w:r>
              <w:t xml:space="preserve"> </w:t>
            </w:r>
            <w:r>
              <w:t xml:space="preserve"> analysis.py </w:t>
            </w:r>
            <w:r>
              <w:t xml:space="preserve"> </w:t>
            </w:r>
            <w:r>
              <w:t>输出的描述统计、信度效度指标与回归结果表</w:t>
            </w:r>
          </w:p>
        </w:tc>
      </w:tr>
    </w:tbl>
    <w:p>
      <w:bookmarkStart w:id="44" w:name="_Toc___B____"/>
      <w:bookmarkStart w:id="22" w:name="附录B复现说明"/>
      <w:pPr>
        <w:pStyle w:val="Heading2"/>
      </w:pPr>
      <w:bookmarkEnd w:id="22"/>
      <w:r>
        <w:rPr>
          <w:rFonts w:ascii="宋体" w:hAnsi="宋体" w:eastAsia="宋体" w:cs="宋体" w:hint="eastAsia"/>
          <w:sz w:val="28"/>
          <w:lang w:eastAsia="zh-CN"/>
        </w:rPr>
        <w:t>附录B 复现说明</w:t>
      </w:r>
      <w:bookmarkEnd w:id="44"/>
    </w:p>
    <w:p>
      <w:pPr>
        <w:ind w:firstLine="480"/>
        <w:jc w:val="both"/>
      </w:pPr>
      <w:r>
        <w:rPr>
          <w:rFonts w:ascii="宋体" w:hAnsi="宋体" w:eastAsia="宋体" w:cs="宋体" w:hint="eastAsia"/>
          <w:sz w:val="20"/>
          <w:lang w:eastAsia="zh-CN"/>
        </w:rPr>
        <w:t>bash pip install jieba pandas numpy python code/simulate_corpus.py # 第0步：生成模拟语料（真实场景替换为爬虫） python code/pipeline.py # 五步流水线：输出企业-年份面板CSV python code/analysis.py # 信度效度检验 + OLS回归</w:t>
      </w:r>
      <w:r/>
      <w:r/>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 xml:space="preserve"> / </w:t>
    </w:r>
    <w:fldSimple w:instr="NUMPAGES">
      <w:r>
        <w:t/>
      </w:r>
    </w:fldSimple>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156" w:val="center"/>
        <w:tab w:pos="8312" w:val="right"/>
      </w:tabs>
    </w:pPr>
    <w:r>
      <w:tab/>
    </w:r>
    <w:r>
      <w:t>基于年报文本挖掘的企业数字化转型测度研究</w:t>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7" w:lineRule="auto"/>
      <w:ind w:firstLine="480"/>
      <w:jc w:val="both"/>
    </w:pPr>
    <w:rPr>
      <w:rFonts w:ascii="宋体" w:hAnsi="宋体" w:eastAsia="宋体"/>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