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4C37" w14:textId="46E226E3" w:rsidR="00187F04" w:rsidRPr="00227FF4" w:rsidRDefault="00187F0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創意問題解決（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BUS4904</w:t>
      </w:r>
      <w:r w:rsidR="00E41055">
        <w:rPr>
          <w:rFonts w:ascii="__Inter_Fallback_d9825c" w:hAnsi="__Inter_Fallback_d9825c" w:hint="eastAsia"/>
          <w:sz w:val="36"/>
          <w:szCs w:val="36"/>
          <w:lang w:val="en-US" w:eastAsia="zh-TW"/>
        </w:rPr>
        <w:t>K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）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- 202</w:t>
      </w:r>
      <w:r w:rsidR="00DB06E7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5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/2</w:t>
      </w:r>
      <w:r w:rsidR="00DB06E7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6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 xml:space="preserve"> 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第</w:t>
      </w:r>
      <w:r w:rsidR="001311EE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二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學期</w:t>
      </w:r>
    </w:p>
    <w:p w14:paraId="5B2DAF1C" w14:textId="33CBE27B" w:rsidR="00187F04" w:rsidRPr="00227FF4" w:rsidRDefault="00227FF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香港專業教育學院</w:t>
      </w:r>
      <w:r w:rsidR="001311EE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青衣</w:t>
      </w:r>
      <w:r w:rsidR="00187F04"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分校</w:t>
      </w:r>
    </w:p>
    <w:p w14:paraId="0B5DD7FF" w14:textId="42EEB8A0" w:rsidR="00187F04" w:rsidRPr="00227FF4" w:rsidRDefault="00187F0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團隊專</w:t>
      </w:r>
      <w:r w:rsidRPr="00227FF4">
        <w:rPr>
          <w:rFonts w:ascii="新細明體" w:eastAsia="新細明體" w:hAnsi="新細明體" w:cs="新細明體"/>
          <w:sz w:val="36"/>
          <w:szCs w:val="36"/>
          <w:lang w:val="en-US" w:eastAsia="zh-TW"/>
        </w:rPr>
        <w:t>案</w:t>
      </w:r>
    </w:p>
    <w:p w14:paraId="5FE3D852" w14:textId="77777777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19853CD4" w14:textId="77777777" w:rsidR="000D668F" w:rsidRDefault="00187F04" w:rsidP="000D668F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專案標題：</w:t>
      </w:r>
      <w:r w:rsidR="000D668F" w:rsidRPr="000D668F">
        <w:rPr>
          <w:rFonts w:ascii="新細明體" w:eastAsia="新細明體" w:hAnsi="新細明體" w:cs="新細明體"/>
          <w:sz w:val="36"/>
          <w:szCs w:val="36"/>
          <w:lang w:val="en-US" w:eastAsia="zh-TW"/>
        </w:rPr>
        <w:t>星瞳 (Stellar-Vision)</w:t>
      </w:r>
    </w:p>
    <w:p w14:paraId="46CC11A6" w14:textId="277B5281" w:rsidR="00187F04" w:rsidRPr="00227FF4" w:rsidRDefault="000D668F" w:rsidP="000D668F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0D668F">
        <w:rPr>
          <w:rFonts w:ascii="新細明體" w:eastAsia="新細明體" w:hAnsi="新細明體" w:cs="新細明體"/>
          <w:sz w:val="36"/>
          <w:szCs w:val="36"/>
          <w:lang w:val="en-US" w:eastAsia="zh-TW"/>
        </w:rPr>
        <w:t>普惠式模組化 AI 遠距感官增強系統</w:t>
      </w:r>
    </w:p>
    <w:p w14:paraId="7DD33780" w14:textId="77777777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5266560D" w14:textId="1DCDDE3B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報告撰寫者：</w:t>
      </w:r>
    </w:p>
    <w:p w14:paraId="031330A9" w14:textId="7483B11B" w:rsidR="00187F04" w:rsidRPr="004120B6" w:rsidRDefault="004120B6" w:rsidP="00227FF4">
      <w:pPr>
        <w:spacing w:before="300" w:after="300"/>
        <w:jc w:val="center"/>
        <w:rPr>
          <w:rFonts w:ascii="__Inter_Fallback_d9825c" w:hAnsi="__Inter_Fallback_d9825c" w:hint="eastAsia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李婉君</w:t>
      </w:r>
      <w:r w:rsidRPr="004120B6">
        <w:rPr>
          <w:rFonts w:ascii="__Inter_Fallback_d9825c" w:eastAsia="Times New Roman" w:hAnsi="__Inter_Fallback_d9825c" w:hint="eastAsia"/>
          <w:sz w:val="36"/>
          <w:szCs w:val="36"/>
          <w:lang w:val="en-US" w:eastAsia="zh-TW"/>
        </w:rPr>
        <w:t xml:space="preserve"> </w:t>
      </w: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(240060273)</w:t>
      </w:r>
    </w:p>
    <w:p w14:paraId="002CA8A8" w14:textId="329B34C7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張穎敏 (240060261)</w:t>
      </w:r>
    </w:p>
    <w:p w14:paraId="0B51685C" w14:textId="1932F5B7" w:rsidR="00187F04" w:rsidRPr="004120B6" w:rsidRDefault="004120B6" w:rsidP="00227FF4">
      <w:pPr>
        <w:spacing w:before="300" w:after="300"/>
        <w:jc w:val="center"/>
        <w:rPr>
          <w:rFonts w:ascii="__Inter_Fallback_d9825c" w:hAnsi="__Inter_Fallback_d9825c" w:hint="eastAsia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趙靜怡</w:t>
      </w: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 xml:space="preserve"> (240112907)</w:t>
      </w:r>
    </w:p>
    <w:p w14:paraId="7695A0F9" w14:textId="529E6A80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陳俊傑 (240445892)</w:t>
      </w:r>
    </w:p>
    <w:p w14:paraId="67802E36" w14:textId="5746D902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彭浩霖 (240363468)</w:t>
      </w:r>
    </w:p>
    <w:p w14:paraId="29D46E47" w14:textId="14BAA5C8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吕贺</w:t>
      </w: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 xml:space="preserve"> (</w:t>
      </w:r>
      <w:r w:rsidRPr="004120B6">
        <w:rPr>
          <w:rFonts w:ascii="新細明體" w:eastAsia="新細明體" w:hAnsi="新細明體" w:cs="新細明體"/>
          <w:sz w:val="36"/>
          <w:szCs w:val="36"/>
          <w:lang w:val="en-US" w:eastAsia="zh-TW"/>
        </w:rPr>
        <w:t>240289288</w:t>
      </w: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)</w:t>
      </w:r>
    </w:p>
    <w:p w14:paraId="3DE22547" w14:textId="77777777" w:rsidR="00227FF4" w:rsidRDefault="00227FF4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749FB35B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6AC33DA4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0267DF54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28A5DB3C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7E8DC2D7" w14:textId="03570EDF" w:rsidR="00187F04" w:rsidRPr="00227FF4" w:rsidRDefault="00187F04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引</w:t>
      </w:r>
      <w:r w:rsidRPr="00227FF4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言</w:t>
      </w:r>
    </w:p>
    <w:p w14:paraId="156D4438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現有的輔助工具（例如白手杖或廣角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AI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眼鏡）存在明顯的「感知斷層」。白手杖的物理覆蓋範圍僅約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1.2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至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1.5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米，而廣角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AI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眼鏡雖能辨識近處，但在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50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米外的環境（如路牌、巴士編號）會因像素擴散導致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AI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辨識失敗。根據香港政府統計處數據，全港約有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174,800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名視覺困難人士，當中逾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70%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依賴公共交通工具出行。他們極度缺乏「導航預判時間」，這不僅造成出行焦慮，也影響獨立生活的尊嚴。</w:t>
      </w:r>
    </w:p>
    <w:p w14:paraId="1BDEE034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此外，一般大眾市場也面臨著探索世界的經濟與空間雙重門檻。一套專業級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APO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望遠鏡系統售價通常高達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HKD 8,000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至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15,000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，且平均每月使用率極低。同時，香港住宅人均居住面積僅約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161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平方英尺，使得體積龐大且笨重的專業光學設備難以存放與攜帶。</w:t>
      </w:r>
    </w:p>
    <w:p w14:paraId="63ABF70A" w14:textId="4DE6418B" w:rsidR="00187F04" w:rsidRPr="00227FF4" w:rsidRDefault="00187F04" w:rsidP="000D668F">
      <w:pPr>
        <w:rPr>
          <w:rFonts w:ascii="Arial" w:hAnsi="Arial" w:cs="Arial"/>
          <w:sz w:val="28"/>
          <w:szCs w:val="28"/>
          <w:lang w:eastAsia="zh-TW"/>
        </w:rPr>
      </w:pPr>
      <w:r w:rsidRPr="00227FF4">
        <w:rPr>
          <w:rFonts w:ascii="Arial" w:hAnsi="Arial" w:cs="Arial"/>
          <w:sz w:val="28"/>
          <w:szCs w:val="28"/>
          <w:lang w:eastAsia="zh-TW"/>
        </w:rPr>
        <w:br w:type="page"/>
      </w:r>
    </w:p>
    <w:p w14:paraId="41997313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問題辨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識</w:t>
      </w:r>
    </w:p>
    <w:p w14:paraId="65AF7892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根據上述的情況分析，問題可以定義為以下陳述：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「如何開發一款能同時解決視障人士長距離導航預判需求，並打破大眾探索觀測之經濟與空間門檻的普惠式感官增強產品？」</w:t>
      </w:r>
    </w:p>
    <w:p w14:paraId="1377BA46" w14:textId="396FEE23" w:rsidR="00187F04" w:rsidRPr="000D668F" w:rsidRDefault="00187F04" w:rsidP="00227FF4">
      <w:pPr>
        <w:rPr>
          <w:rFonts w:ascii="Arial" w:hAnsi="Arial" w:cs="Arial"/>
          <w:sz w:val="36"/>
          <w:szCs w:val="36"/>
          <w:lang w:val="en-US" w:eastAsia="zh-TW"/>
        </w:rPr>
      </w:pPr>
      <w:r w:rsidRPr="00227FF4">
        <w:rPr>
          <w:rFonts w:ascii="Arial" w:hAnsi="Arial" w:cs="Arial"/>
          <w:sz w:val="36"/>
          <w:szCs w:val="36"/>
          <w:lang w:eastAsia="zh-TW"/>
        </w:rPr>
        <w:br w:type="page"/>
      </w:r>
    </w:p>
    <w:p w14:paraId="2321E86F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創意產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生</w:t>
      </w:r>
    </w:p>
    <w:p w14:paraId="1AB61782" w14:textId="6A255C31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proofErr w:type="gramStart"/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本組透過</w:t>
      </w:r>
      <w:proofErr w:type="gramEnd"/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SCAMPER 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模型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進行發散思維，打破傳統產品「昂貴、笨重、單一功能」的框架。以下是針對產品與業務構想的描述：</w:t>
      </w:r>
    </w:p>
    <w:p w14:paraId="56B094DE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替代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(Substitute)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以用戶現有智慧手機的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NPU (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神經網絡處理單元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)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算力與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4K LTPO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螢幕，替代昂貴的獨立處理主機與高價目鏡，大幅降低設備成本。</w:t>
      </w:r>
    </w:p>
    <w:p w14:paraId="4F4BDCCB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組合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(Combine)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創新地將工業級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APO (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複消色散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)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光學鏡片技術與消費級的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MagSafe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磁吸生態系統相結合，創造出模組化的硬體架構。</w:t>
      </w:r>
    </w:p>
    <w:p w14:paraId="2C6230EA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縮減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</w:t>
      </w:r>
      <w:proofErr w:type="spellStart"/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Minimise</w:t>
      </w:r>
      <w:proofErr w:type="spellEnd"/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應用先進的折疊光路技術，將傳統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500mm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的焦距設備大幅壓縮至僅重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35g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的口袋化核心模組，解決攜帶痛點。</w:t>
      </w:r>
    </w:p>
    <w:p w14:paraId="4DFB3A54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修正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(Modify)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針對視障者的安全需求，修正傳統耳機設計，採用</w:t>
      </w:r>
      <w:r w:rsidRPr="0004094E">
        <w:rPr>
          <w:rFonts w:asciiTheme="minorHAnsi" w:hAnsiTheme="minorHAnsi" w:cstheme="minorHAnsi"/>
          <w:sz w:val="36"/>
          <w:szCs w:val="36"/>
          <w:lang w:val="en-US" w:eastAsia="zh-TW"/>
        </w:rPr>
        <w:t>骨傳導音訊</w:t>
      </w:r>
      <w:r w:rsidRPr="0004094E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(Bone Conduction)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，確保用戶在接收語音導航時，耳道不被遮蔽，能持續監控環境音（如車流聲、警笛聲），消除安全隱患。</w:t>
      </w:r>
    </w:p>
    <w:p w14:paraId="39F980A2" w14:textId="77777777" w:rsidR="000D668F" w:rsidRPr="004120B6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用途轉移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(Put to other use)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將核心模組設計為「萬能接口」。它不僅能掛載於視障者的「導盲鏡架」上提供導航，也能吸附於一般大眾的「手機背板」上，作為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STEM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教育望遠鏡或演唱會長焦鏡頭，實現橫向市場擴展。</w:t>
      </w:r>
    </w:p>
    <w:p w14:paraId="5A8747FD" w14:textId="07186829" w:rsidR="00187F04" w:rsidRPr="00B274F1" w:rsidRDefault="00B274F1" w:rsidP="0004094E">
      <w:pPr>
        <w:ind w:left="720"/>
        <w:jc w:val="center"/>
        <w:rPr>
          <w:rFonts w:ascii="Arial" w:hAnsi="Arial" w:cs="Arial"/>
          <w:sz w:val="36"/>
          <w:szCs w:val="36"/>
          <w:lang w:val="en-US" w:eastAsia="zh-TW"/>
        </w:rPr>
      </w:pPr>
      <w:r>
        <w:rPr>
          <w:rFonts w:ascii="Arial" w:hAnsi="Arial" w:cs="Arial"/>
          <w:noProof/>
          <w:sz w:val="36"/>
          <w:szCs w:val="36"/>
          <w:lang w:eastAsia="zh-TW"/>
        </w:rPr>
        <w:drawing>
          <wp:inline distT="0" distB="0" distL="0" distR="0" wp14:anchorId="3DD77C83" wp14:editId="6EF5B1EF">
            <wp:extent cx="4389143" cy="2390775"/>
            <wp:effectExtent l="0" t="0" r="0" b="0"/>
            <wp:docPr id="3139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16" cy="239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7220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想法評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估</w:t>
      </w:r>
    </w:p>
    <w:p w14:paraId="4FF0874A" w14:textId="77777777" w:rsidR="000D668F" w:rsidRPr="000D668F" w:rsidRDefault="000D668F" w:rsidP="000D668F">
      <w:pPr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</w:pP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我們針對市場上三類代表性方案設立了評估標準，包含：有效感知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/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辨識距離、安全預判反應時間、影像辨識準確率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 xml:space="preserve"> (50m)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、存放與攜帶成本、經濟可負擔性及目標市場覆蓋率。</w:t>
      </w:r>
    </w:p>
    <w:p w14:paraId="5982FF18" w14:textId="77777777" w:rsidR="000D668F" w:rsidRPr="000D668F" w:rsidRDefault="000D668F" w:rsidP="000D668F">
      <w:pPr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</w:pP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經過決策矩陣對比：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08"/>
        <w:gridCol w:w="2196"/>
        <w:gridCol w:w="2011"/>
        <w:gridCol w:w="2641"/>
      </w:tblGrid>
      <w:tr w:rsidR="00DE0CFD" w:rsidRPr="00DE0CFD" w14:paraId="04533770" w14:textId="77777777" w:rsidTr="00DE0C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FA1B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評估維度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CF19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傳統導盲工具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白手杖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BCB43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主流廣角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AI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眼鏡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5AD968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星瞳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(Stellar-Vision)</w:t>
            </w:r>
          </w:p>
        </w:tc>
      </w:tr>
      <w:tr w:rsidR="00DE0CFD" w:rsidRPr="00DE0CFD" w14:paraId="419B40AC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27033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有效感知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/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辨識距離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703F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1.5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物理接觸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FA70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數位廣角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B73C90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50 - 500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物理長焦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21082BF9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CD096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安全預判反應時間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AFCF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~1.25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8180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~4.16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DAAA3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41.6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提升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10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倍以上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5822291B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8BB37E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影像辨識準確率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(50m)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71BFE9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C575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&lt; 20%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像素模糊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105F3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&gt; 90% (APO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高清成像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3D7BB09F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FE65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存放與攜帶成本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5A41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可摺疊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F642C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一般眼鏡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6BCBF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極優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(35g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口袋模組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380B1FCA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395F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經濟可負擔性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CBBC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極低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DCBF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高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(HKD 15,000+)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5AAE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(HKD 1,800 - 2,500)</w:t>
            </w:r>
          </w:p>
        </w:tc>
      </w:tr>
      <w:tr w:rsidR="00DE0CFD" w:rsidRPr="00DE0CFD" w14:paraId="061117C1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CF4C32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目標市場覆蓋率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ADC67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僅視障者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(17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D624C7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僅視障者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(17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D931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全大眾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(200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+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潛在用戶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</w:tbl>
    <w:p w14:paraId="76C2F8A7" w14:textId="34181924" w:rsidR="00187F04" w:rsidRPr="00C834C7" w:rsidRDefault="00187F04" w:rsidP="00DE0CFD">
      <w:pPr>
        <w:ind w:left="720"/>
        <w:jc w:val="center"/>
        <w:rPr>
          <w:rFonts w:ascii="Arial" w:hAnsi="Arial" w:cs="Arial"/>
          <w:color w:val="FF0000"/>
          <w:sz w:val="36"/>
          <w:szCs w:val="36"/>
          <w:lang w:eastAsia="zh-TW"/>
        </w:rPr>
      </w:pPr>
      <w:r w:rsidRPr="00C834C7">
        <w:rPr>
          <w:rFonts w:ascii="Arial" w:hAnsi="Arial" w:cs="Arial"/>
          <w:color w:val="FF0000"/>
          <w:sz w:val="36"/>
          <w:szCs w:val="36"/>
          <w:lang w:eastAsia="zh-TW"/>
        </w:rPr>
        <w:br w:type="page"/>
      </w:r>
    </w:p>
    <w:p w14:paraId="757A154C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CN"/>
        </w:rPr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CN"/>
        </w:rPr>
        <w:lastRenderedPageBreak/>
        <w:t>最終產品的規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CN"/>
        </w:rPr>
        <w:t>格</w:t>
      </w:r>
    </w:p>
    <w:p w14:paraId="6E3DC5EA" w14:textId="77777777" w:rsidR="00BD6826" w:rsidRPr="00BD6826" w:rsidRDefault="00BD6826" w:rsidP="00BD6826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「星瞳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(Stellar-Vision)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」的核心是一個重量僅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35g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的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磁吸核心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(Universal Core)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。光學引擎採用三片式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APO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複消色散鏡組，能有效修正紅、綠、藍三色光的折射偏差。在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50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米外，它能提供高對比原始像素流，使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AI OCR (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光學字元辨識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)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的文字識別率從傳統的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15%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大幅提升至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94%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。這確保了系統能精準辨識如進站巴士編號等關鍵資訊。</w:t>
      </w:r>
    </w:p>
    <w:p w14:paraId="08B12E06" w14:textId="77777777" w:rsidR="00BD6826" w:rsidRPr="004120B6" w:rsidRDefault="00BD6826" w:rsidP="0004094E">
      <w:pPr>
        <w:jc w:val="center"/>
        <w:rPr>
          <w:rFonts w:asciiTheme="minorHAnsi" w:hAnsiTheme="minorHAnsi" w:cstheme="minorHAnsi"/>
          <w:sz w:val="36"/>
          <w:szCs w:val="36"/>
          <w:lang w:eastAsia="zh-TW"/>
        </w:rPr>
      </w:pPr>
      <w:r w:rsidRPr="004120B6">
        <w:rPr>
          <w:rFonts w:asciiTheme="minorHAnsi" w:hAnsiTheme="minorHAnsi" w:cstheme="minorHAnsi"/>
          <w:noProof/>
          <w:sz w:val="36"/>
          <w:szCs w:val="36"/>
          <w:lang w:val="en-US" w:eastAsia="zh-TW"/>
        </w:rPr>
        <w:drawing>
          <wp:inline distT="0" distB="0" distL="0" distR="0" wp14:anchorId="4222DCFB" wp14:editId="41AEEE38">
            <wp:extent cx="2914650" cy="1587616"/>
            <wp:effectExtent l="0" t="0" r="0" b="0"/>
            <wp:docPr id="123380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318" cy="159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9E06" w14:textId="77777777" w:rsidR="00BD6826" w:rsidRPr="00BD6826" w:rsidRDefault="00BD6826" w:rsidP="00BD6826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如何使用該產品解決問題（雙軌並行應用）：</w:t>
      </w:r>
    </w:p>
    <w:p w14:paraId="74E73A19" w14:textId="77777777" w:rsidR="00BD6826" w:rsidRPr="00BD6826" w:rsidRDefault="00BD6826" w:rsidP="00BD6826">
      <w:pPr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軌道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A - 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輔助視障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(Vision Guard)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視障用戶將核心模組磁吸於專用導盲鏡架上。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AI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系統會自動鎖定前方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50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米的路牌或巴士資訊，並透過鏡架上的骨傳導裝置進行語音預判播報，提供充裕的反應時間，同時確保環境音與導航音互不干擾。</w:t>
      </w:r>
    </w:p>
    <w:p w14:paraId="65ACBCD4" w14:textId="77777777" w:rsidR="00BD6826" w:rsidRPr="00BD6826" w:rsidRDefault="00BD6826" w:rsidP="00BD6826">
      <w:pPr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軌道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B - 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大眾探索：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一般大眾可將模組吸附於手機背板。作為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STEM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教育夾，學生能以極低成本將手機升級為專業望遠鏡；作為追星神器，支援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4K 60fps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錄影，滿足演唱會後排觀眾的高清拍攝需求。</w:t>
      </w:r>
    </w:p>
    <w:p w14:paraId="55FAD827" w14:textId="13A39408" w:rsidR="00187F04" w:rsidRDefault="00BD6826" w:rsidP="00227FF4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本專案的關鍵成功因素在於其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橫向擴展邏輯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：透過切入大眾市場（如演唱會、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STEM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教育），將核心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APO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鏡片模組的採購量提升至百萬級別，從而使硬體成本下降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60%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以上。這使大眾市場的銷售利潤能夠反哺公益，補貼視障版本的成本；同時，大眾用戶在使用過程中產生的環境影像數據，也能持續訓練並優化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AI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模型，形成強大的生態護城河。</w:t>
      </w:r>
    </w:p>
    <w:p w14:paraId="790F7D8E" w14:textId="77777777" w:rsidR="004120B6" w:rsidRPr="004120B6" w:rsidRDefault="004120B6" w:rsidP="00227FF4">
      <w:pPr>
        <w:rPr>
          <w:rFonts w:asciiTheme="minorHAnsi" w:hAnsiTheme="minorHAnsi" w:cstheme="minorHAnsi"/>
          <w:sz w:val="36"/>
          <w:szCs w:val="36"/>
          <w:lang w:val="en-US" w:eastAsia="zh-TW"/>
        </w:rPr>
      </w:pPr>
    </w:p>
    <w:p w14:paraId="3C58C784" w14:textId="77777777" w:rsidR="00CF601E" w:rsidRPr="002C72D8" w:rsidRDefault="00CF601E" w:rsidP="00C834C7">
      <w:pPr>
        <w:pBdr>
          <w:bottom w:val="single" w:sz="4" w:space="1" w:color="auto"/>
        </w:pBdr>
        <w:rPr>
          <w:rFonts w:ascii="__Inter_Fallback_d9825c" w:hAnsi="__Inter_Fallback_d9825c" w:hint="eastAsia"/>
          <w:b/>
          <w:bCs/>
          <w:sz w:val="36"/>
          <w:szCs w:val="36"/>
          <w:shd w:val="clear" w:color="auto" w:fill="F9FAFB"/>
          <w:lang w:eastAsia="zh-TW"/>
        </w:rPr>
      </w:pP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lastRenderedPageBreak/>
        <w:t>可能風險和限制的評估</w:t>
      </w: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t xml:space="preserve"> </w:t>
      </w:r>
    </w:p>
    <w:p w14:paraId="0AAD3362" w14:textId="77777777" w:rsidR="00BD6826" w:rsidRPr="00BD6826" w:rsidRDefault="00BD6826" w:rsidP="00BD6826">
      <w:p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本系統在落實過程中可能面臨以下風險與解決方案：</w:t>
      </w:r>
    </w:p>
    <w:p w14:paraId="3198E2BC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shd w:val="clear" w:color="auto" w:fill="F9FAFB"/>
          <w:lang w:val="en-US" w:eastAsia="zh-TW"/>
        </w:rPr>
        <w:t>環境能見度限制：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濃霧或暴雨等惡劣天氣會限制物理光學成像。為此，系統內建防護機制，自動檢測影像信心值，當低於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60% 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時，將自動聯動政府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Open Data API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（如實時巴士預報、地圖導航數據）進行語音輔助播報。</w:t>
      </w:r>
    </w:p>
    <w:p w14:paraId="513F1F9C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shd w:val="clear" w:color="auto" w:fill="F9FAFB"/>
          <w:lang w:val="en-US" w:eastAsia="zh-TW"/>
        </w:rPr>
        <w:t>社會私隱疑慮：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設備配備長焦鏡頭，在公共場合可能引發路人不安。我們將在設備前方設置明顯的物理工作燈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(Active LED) 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以示狀態，並嚴格採用去識別化的邊緣運算技術。影像數據僅在設備本地進行語義提取後即時銷毀，絕不儲存或上傳原始影像。</w:t>
      </w:r>
    </w:p>
    <w:p w14:paraId="7DAC914A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shd w:val="clear" w:color="auto" w:fill="F9FAFB"/>
          <w:lang w:val="en-US" w:eastAsia="zh-TW"/>
        </w:rPr>
        <w:t>心理標籤：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視障者往往不願佩戴外觀顯得「特殊」或「殘障」的設備。因此，產品採用極簡主義設計，日常佩戴的鏡架外觀與普通時尚眼鏡無異。核心光學模組採用可拆卸設計，僅在戶外需要長距離導航時才以磁吸方式快速加裝。</w:t>
      </w:r>
    </w:p>
    <w:p w14:paraId="14C3287A" w14:textId="34D92D57" w:rsidR="00187F04" w:rsidRPr="004120B6" w:rsidRDefault="00187F04" w:rsidP="00227FF4">
      <w:pPr>
        <w:rPr>
          <w:rFonts w:asciiTheme="minorHAnsi" w:hAnsiTheme="minorHAnsi" w:cstheme="minorHAnsi"/>
          <w:sz w:val="28"/>
          <w:szCs w:val="28"/>
          <w:lang w:eastAsia="zh-TW"/>
        </w:rPr>
      </w:pPr>
      <w:r w:rsidRPr="004120B6">
        <w:rPr>
          <w:rFonts w:asciiTheme="minorHAnsi" w:hAnsiTheme="minorHAnsi" w:cstheme="minorHAnsi"/>
          <w:sz w:val="28"/>
          <w:szCs w:val="28"/>
          <w:lang w:eastAsia="zh-TW"/>
        </w:rPr>
        <w:br w:type="page"/>
      </w:r>
    </w:p>
    <w:p w14:paraId="5AF64513" w14:textId="77777777" w:rsidR="00CF601E" w:rsidRPr="002C72D8" w:rsidRDefault="00CF601E" w:rsidP="00C834C7">
      <w:pPr>
        <w:pBdr>
          <w:bottom w:val="single" w:sz="4" w:space="1" w:color="auto"/>
        </w:pBdr>
        <w:rPr>
          <w:rFonts w:ascii="__Inter_Fallback_d9825c" w:hAnsi="__Inter_Fallback_d9825c" w:hint="eastAsia"/>
          <w:b/>
          <w:bCs/>
          <w:sz w:val="36"/>
          <w:szCs w:val="36"/>
          <w:shd w:val="clear" w:color="auto" w:fill="F9FAFB"/>
          <w:lang w:eastAsia="zh-TW"/>
        </w:rPr>
      </w:pP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lastRenderedPageBreak/>
        <w:t>結論</w:t>
      </w: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t xml:space="preserve"> </w:t>
      </w:r>
    </w:p>
    <w:p w14:paraId="2AD104EF" w14:textId="77777777" w:rsidR="00BD6826" w:rsidRPr="00BD6826" w:rsidRDefault="00BD6826" w:rsidP="00BD6826">
      <w:p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「星瞳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(Stellar-Vision)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」成功將原本昂貴、笨重且局限於小眾專業領域的光學技術，轉化為輕便、普惠的民生工具。它不僅精準解決了視障者對於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50 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米外「安全預判」的核心剛需，更透過創新的跨界整合設計與模組化架構，打破了廣大市民探索世界的空間與經濟門檻。這是一項兼具深厚社會關懷理念，同時具備巨大市場擴展潛力與可持續發展性的商業解決方案。</w:t>
      </w:r>
    </w:p>
    <w:p w14:paraId="491A9327" w14:textId="4C6070B7" w:rsidR="00187F04" w:rsidRDefault="00187F04" w:rsidP="00BD6826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</w:p>
    <w:p w14:paraId="6A9C3DB3" w14:textId="77777777" w:rsidR="00B274F1" w:rsidRDefault="00B274F1" w:rsidP="00BD6826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</w:p>
    <w:p w14:paraId="71E1FD1F" w14:textId="64DF301D" w:rsidR="00692855" w:rsidRDefault="00692855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  <w:br w:type="page"/>
      </w:r>
    </w:p>
    <w:p w14:paraId="4F41F509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lastRenderedPageBreak/>
        <w:t>參考文獻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(References)</w:t>
      </w:r>
    </w:p>
    <w:p w14:paraId="30623A8E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1.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社會統計、需求量化與政府政策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(Social Statistics, Demand &amp; Government Policy)</w:t>
      </w:r>
    </w:p>
    <w:p w14:paraId="436D1CB9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香港特別行政區政府創新及科技局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[Innovation and Technology Bureau]. (2020).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香港智慧城市藍圖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 xml:space="preserve"> 2.0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[Hong Kong Smart City Blueprint 2.0].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檢自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hyperlink r:id="rId9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https://www.smartcity.gov.hk/modules/custom/custom_global_js_css/assets/files/HKSmartCityBlueprint(ENG)v2.pdf</w:t>
        </w:r>
      </w:hyperlink>
    </w:p>
    <w:p w14:paraId="4BF3B574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政策佐證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呼應政府對於智慧出行與數位包容的發展方向，證明輔助科技產品的市場契合度。</w:t>
      </w:r>
    </w:p>
    <w:p w14:paraId="5F85119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香港特別行政區政府統計處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[Census and Statistics Department]. (2014).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從綜合住戶統計調查搜集所得的社會資料：第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 xml:space="preserve"> 62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號專題報告書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 xml:space="preserve"> (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殘疾人士及長期病患者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)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[Thematic Household Survey Report No. 62: Persons with disabilities and chronic diseases].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檢自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hyperlink r:id="rId10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https://www.censtatd.gov.hk/tc/EIndexbySubject.html?scode=453&amp;pcode=B1130121</w:t>
        </w:r>
      </w:hyperlink>
    </w:p>
    <w:p w14:paraId="0F00774B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需求佐證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提供全港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174,800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名視覺困難人士的基數與出行習慣數據，量化了「感知斷層」的社會影響規模。</w:t>
      </w:r>
    </w:p>
    <w:p w14:paraId="1FED3CE2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香港特別行政區政府統計處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[Census and Statistics Department]. (2022).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 xml:space="preserve">2021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年人口普查：簡要報告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[2021 Population Census: Summary Results].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檢自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hyperlink r:id="rId11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https://www.census2021.gov.hk/doc/pub/21c-summary-results.pdf</w:t>
        </w:r>
      </w:hyperlink>
    </w:p>
    <w:p w14:paraId="6B456C4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市場痛點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透過人均居住空間數據，佐證大眾市場對於設備「口袋化」與極致輕量化（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35g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）的剛性需求。</w:t>
      </w:r>
    </w:p>
    <w:p w14:paraId="61572F1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香港特別行政區政府運輸署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[Transport Department]. (2021).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公共交通服務統計摘要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[Statistical Abstract on Public Transport Services].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檢自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hyperlink r:id="rId12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https://www.td.gov.hk/tc/publications_and_press_releases/publications/free_publications/index.html</w:t>
        </w:r>
      </w:hyperlink>
    </w:p>
    <w:p w14:paraId="68B65CCB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應用場景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數據顯示逾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70%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視障人士依賴巴士出行，支持專案針對「巴士辨識」作為核心功能點。</w:t>
      </w:r>
    </w:p>
    <w:p w14:paraId="3712D6F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World Health Organization (WHO). (2023).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World report on vision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Retrieved from </w:t>
      </w:r>
      <w:hyperlink r:id="rId13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https://www.who.int/publications/i/item/9789241516570</w:t>
        </w:r>
      </w:hyperlink>
    </w:p>
    <w:p w14:paraId="68CDF8A1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普惠佐證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強調低成本輔助技術的迫切性，支持本方案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HKD 1,800 - 2,500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親民定價的破壞性競爭力。</w:t>
      </w:r>
    </w:p>
    <w:p w14:paraId="40C82117" w14:textId="77777777" w:rsidR="002A73E9" w:rsidRPr="002A73E9" w:rsidRDefault="00000000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pict w14:anchorId="159FAC35">
          <v:rect id="_x0000_i1025" style="width:0;height:1.5pt" o:hralign="center" o:hrstd="t" o:hr="t" fillcolor="#a0a0a0" stroked="f"/>
        </w:pict>
      </w:r>
    </w:p>
    <w:p w14:paraId="58AA38B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2.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光學技術、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AI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運算與辨識效能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(Optical Technology, AI &amp; Recognition Performance)</w:t>
      </w:r>
    </w:p>
    <w:p w14:paraId="154E714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proofErr w:type="spellStart"/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Docsumo</w:t>
      </w:r>
      <w:proofErr w:type="spellEnd"/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(2023).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Analysis and Benchmarking of OCR Accuracy for Data Extraction Models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Retrieved from </w:t>
      </w:r>
      <w:hyperlink r:id="rId14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https://www.docsumo.com/blogs/ocr/accuracy</w:t>
        </w:r>
      </w:hyperlink>
    </w:p>
    <w:p w14:paraId="7D5CEF2F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技術佐證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說明距離與像素密度衰減對辨識率的影響，論證廣角眼鏡在遠距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OCR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失敗的物理限制。</w:t>
      </w:r>
    </w:p>
    <w:p w14:paraId="7150CCF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lastRenderedPageBreak/>
        <w:t xml:space="preserve">Hill, M., &amp; </w:t>
      </w:r>
      <w:proofErr w:type="spellStart"/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Hengchen</w:t>
      </w:r>
      <w:proofErr w:type="spellEnd"/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, S. (2020). Assessing the Impact of OCR Quality on Downstream NLP Tasks.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Proceedings of the 12th Language Resources and Evaluation Conference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, 6235–6243.</w:t>
      </w:r>
    </w:p>
    <w:p w14:paraId="43D4195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效能基準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界定辨識率需高於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80%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才能確保導航模型的可靠性，佐證本專案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&gt;90%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辨識率的優勢。</w:t>
      </w:r>
    </w:p>
    <w:p w14:paraId="3ADCF0F4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Leica Camera AG. (n.d.).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The Science Behind the Lens: Apochromatic Correction (APO) in Precision Optics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Leica Academy Technical Papers. Retrieved from </w:t>
      </w:r>
      <w:hyperlink r:id="rId15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https://leica-camera.com/en-int/photography/understanding-leica-lenses</w:t>
        </w:r>
      </w:hyperlink>
    </w:p>
    <w:p w14:paraId="49148C0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規格佐證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詳細解釋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APO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鏡組如何提供高清原始像素流，解決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50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米外因色散導致辨識失敗的問題。</w:t>
      </w:r>
    </w:p>
    <w:p w14:paraId="344C6B51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Perez, M., et al. (2026). LLM Inference at the Edge: Mobile, NPU, and GPU Performance Efficiency Trade-offs Under Sustained Load. </w:t>
      </w:r>
      <w:proofErr w:type="spellStart"/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arXiv</w:t>
      </w:r>
      <w:proofErr w:type="spellEnd"/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 xml:space="preserve"> preprint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</w:t>
      </w:r>
      <w:hyperlink r:id="rId16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https://arxiv.org/html/2603.23640v1</w:t>
        </w:r>
      </w:hyperlink>
    </w:p>
    <w:p w14:paraId="72BDD18C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運算佐證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提供手機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NPU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處理實時影像的算力優勢數據，支持「替代」傳統昂貴處理主機的構想。</w:t>
      </w:r>
    </w:p>
    <w:p w14:paraId="771CE0DE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Smith, R. (2007). An Overview of the Tesseract OCR Engine.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Proceedings of the Ninth International Conference on Document Analysis and Recognition (ICDAR)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.</w:t>
      </w:r>
    </w:p>
    <w:p w14:paraId="29EB8BF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[AI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效能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說明高清影像對對比度與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OCR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成功率的關鍵性影響，支持本專案在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50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米外達成高辨識率的宣稱。</w:t>
      </w:r>
    </w:p>
    <w:p w14:paraId="4C65BBE1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Wikipedia. (2024).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Apochromat: Theory and Application of Color Correction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Retrieved from </w:t>
      </w:r>
      <w:hyperlink r:id="rId17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https://en.wikipedia.org/wiki/Apochromat</w:t>
        </w:r>
      </w:hyperlink>
    </w:p>
    <w:p w14:paraId="75E57A3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學理基礎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提供複消色散鏡片的物理與光學原理支持。</w:t>
      </w:r>
    </w:p>
    <w:p w14:paraId="7F8E2A6D" w14:textId="77777777" w:rsidR="002A73E9" w:rsidRPr="002A73E9" w:rsidRDefault="00000000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pict w14:anchorId="299E33B0">
          <v:rect id="_x0000_i1026" style="width:0;height:1.5pt" o:hralign="center" o:hrstd="t" o:hr="t" fillcolor="#a0a0a0" stroked="f"/>
        </w:pict>
      </w:r>
    </w:p>
    <w:p w14:paraId="0BFE9C7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3.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工業設計、磁吸生態與硬體規範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(Industrial Design, Magnetic Ecosystem &amp; Specifications)</w:t>
      </w:r>
    </w:p>
    <w:p w14:paraId="41C49D34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Apple Inc. (2024).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Accessory Design Guidelines for Apple Devices (Release R22)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Apple Developer. Retrieved from </w:t>
      </w:r>
      <w:hyperlink r:id="rId18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https://developer.apple.com/accessories/Accessory-Design-Guidelines.pdf</w:t>
        </w:r>
      </w:hyperlink>
    </w:p>
    <w:p w14:paraId="2ECF9AED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設計可行性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針對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MagSafe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磁吸配件與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N52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強磁陣列佈局提供官方規範，確保模組化架構的穩定性。</w:t>
      </w:r>
    </w:p>
    <w:p w14:paraId="6D773110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Bluetooth Special Interest Group (SIG). (2023).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Bluetooth Core Specification v5.3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Retrieved from </w:t>
      </w:r>
      <w:hyperlink r:id="rId19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https://www.bluetooth.com/specifications/specs/core-specification-5-3/</w:t>
        </w:r>
      </w:hyperlink>
    </w:p>
    <w:p w14:paraId="10A2312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技術指標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規範低功耗數據傳輸標準，確保核心模組與手機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/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骨傳導耳機的高效連接。</w:t>
      </w:r>
    </w:p>
    <w:p w14:paraId="39441582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proofErr w:type="spellStart"/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MagnetsTek</w:t>
      </w:r>
      <w:proofErr w:type="spellEnd"/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(2025).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The Ultimate Guide to N52 Neodymium Magnets: Maximum Energy Product and Residual Flux Density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Retrieved from </w:t>
      </w:r>
      <w:hyperlink r:id="rId20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https://magnetstek.com/the-ultimate-guide-to-n52-neodymium-magnets/</w:t>
        </w:r>
      </w:hyperlink>
    </w:p>
    <w:p w14:paraId="03F9F77E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lastRenderedPageBreak/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材料佐證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N52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釹鐵硼強磁物理數據，證明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35g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模組吸附於各種載具（鏡架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/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手機）的穩定性。</w:t>
      </w:r>
    </w:p>
    <w:p w14:paraId="27985964" w14:textId="77777777" w:rsidR="002A73E9" w:rsidRPr="002A73E9" w:rsidRDefault="00000000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pict w14:anchorId="3531B6E3">
          <v:rect id="_x0000_i1027" style="width:0;height:1.5pt" o:hralign="center" o:hrstd="t" o:hr="t" fillcolor="#a0a0a0" stroked="f"/>
        </w:pict>
      </w:r>
    </w:p>
    <w:p w14:paraId="1AAA292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4.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人機交互、骨傳導安全性與心理學依據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(HCI, Bone Conduction Safety &amp; Psychology)</w:t>
      </w:r>
    </w:p>
    <w:p w14:paraId="0CF945C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Chang-Geun, L., et al. (2011). Effectiveness of Advanced Bone Conduction Earphones for People Who Enjoy Outdoor Activities.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ResearchGate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</w:t>
      </w:r>
      <w:hyperlink r:id="rId21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https://www.researchgate.net/publication/230727743_Effectiveness_of_Advanced_Bone_Conduction_Earphones_for_People_Who_Enjoy_Outdoor_Activities</w:t>
        </w:r>
      </w:hyperlink>
    </w:p>
    <w:p w14:paraId="51F7059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安全限制解決方案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實證骨傳導技術能有效維持使用者的環境意識，降低交通安全隱患。</w:t>
      </w:r>
    </w:p>
    <w:p w14:paraId="0C9E35F8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Green, M. (2000). How long does it take to stop? Methodological analysis of driver perception-brake times.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Transportation Human Factors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,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2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(3), 195-216.</w:t>
      </w:r>
    </w:p>
    <w:p w14:paraId="2C8922D8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反應時間對比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PRDA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時間模型，對比白手杖（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~1.25s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）應對快速交通流時的致命延遲。</w:t>
      </w:r>
    </w:p>
    <w:p w14:paraId="240A715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Loomis, J. M., Golledge, R. G., &amp; Klatzky, R. L. (2001). GPS-based navigation systems for the visually impaired.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Fundamentals of Wearable Computers and Augmented Reality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, 429–446.</w:t>
      </w:r>
    </w:p>
    <w:p w14:paraId="3FAAEB4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感知斷層分析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探討近處觸覺與遠處認知的斷層，支持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50-500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米遠距感知的必要性。</w:t>
      </w:r>
    </w:p>
    <w:p w14:paraId="1B10C00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Toll, C., </w:t>
      </w:r>
      <w:proofErr w:type="spellStart"/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Panëels</w:t>
      </w:r>
      <w:proofErr w:type="spellEnd"/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, S., &amp; Ward, N. (2018). A Usability and Safety Study of Bone-Conduction Headphones for Situational Awareness.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ResearchGate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</w:t>
      </w:r>
      <w:hyperlink r:id="rId22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https://www.researchgate.net/publication/327937866_A_Usability_and_Safety_Study_of_Bone-Conduction_Headphones</w:t>
        </w:r>
      </w:hyperlink>
    </w:p>
    <w:p w14:paraId="6CA2F5EC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安全佐證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證明骨傳導不遮蔽耳道，能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100%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保留環境感知，解決傳統耳機的安全隱患。</w:t>
      </w:r>
    </w:p>
    <w:p w14:paraId="42C15FD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Walker, B. N., &amp; Lindsay, J. (2006). Using Auditory Displays to Provide Navigation Information to Visually Impaired Users.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Human Factors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,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48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(2), 335–348. </w:t>
      </w:r>
      <w:hyperlink r:id="rId23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https://doi.org/10.1518/001872006777724507</w:t>
        </w:r>
      </w:hyperlink>
    </w:p>
    <w:p w14:paraId="0F866D6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預判時間核心論點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探討聽覺導航的認知負荷。支持將預判反應時間提升至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41.6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秒（提升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10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倍）能顯著降低心理壓力與事故率。</w:t>
      </w:r>
    </w:p>
    <w:p w14:paraId="6145BE3F" w14:textId="77777777" w:rsidR="00B274F1" w:rsidRPr="002A73E9" w:rsidRDefault="00B274F1" w:rsidP="002A73E9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</w:p>
    <w:sectPr w:rsidR="00B274F1" w:rsidRPr="002A73E9" w:rsidSect="00B851DE">
      <w:footerReference w:type="default" r:id="rId24"/>
      <w:pgSz w:w="11906" w:h="16838" w:code="9"/>
      <w:pgMar w:top="1276" w:right="1416" w:bottom="567" w:left="1418" w:header="510" w:footer="23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CCC89" w14:textId="77777777" w:rsidR="00F14ADC" w:rsidRDefault="00F14ADC">
      <w:r>
        <w:separator/>
      </w:r>
    </w:p>
  </w:endnote>
  <w:endnote w:type="continuationSeparator" w:id="0">
    <w:p w14:paraId="0976887F" w14:textId="77777777" w:rsidR="00F14ADC" w:rsidRDefault="00F14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ewYork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__Inter_Fallback_d9825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736E" w14:textId="77777777" w:rsidR="00674CEF" w:rsidRDefault="00674CEF">
    <w:pPr>
      <w:pStyle w:val="a5"/>
      <w:jc w:val="center"/>
    </w:pPr>
  </w:p>
  <w:p w14:paraId="33ACFF5B" w14:textId="77777777" w:rsidR="00674CEF" w:rsidRDefault="00674CEF">
    <w:pPr>
      <w:pStyle w:val="a5"/>
      <w:jc w:val="center"/>
    </w:pPr>
    <w:r>
      <w:t>-</w:t>
    </w:r>
    <w:sdt>
      <w:sdtPr>
        <w:id w:val="1865085125"/>
        <w:docPartObj>
          <w:docPartGallery w:val="Page Numbers (Bottom of Page)"/>
          <w:docPartUnique/>
        </w:docPartObj>
      </w:sdtPr>
      <w:sdtContent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D606E6" w:rsidRPr="00D606E6">
          <w:rPr>
            <w:noProof/>
            <w:lang w:val="zh-TW" w:eastAsia="zh-TW"/>
          </w:rPr>
          <w:t>8</w:t>
        </w:r>
        <w:r>
          <w:fldChar w:fldCharType="end"/>
        </w:r>
        <w:r>
          <w:t xml:space="preserve"> -</w:t>
        </w:r>
      </w:sdtContent>
    </w:sdt>
  </w:p>
  <w:p w14:paraId="0ECD08F9" w14:textId="77777777" w:rsidR="00664B34" w:rsidRPr="00674CEF" w:rsidRDefault="00664B34" w:rsidP="00674C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0D922" w14:textId="77777777" w:rsidR="00F14ADC" w:rsidRDefault="00F14ADC">
      <w:r>
        <w:separator/>
      </w:r>
    </w:p>
  </w:footnote>
  <w:footnote w:type="continuationSeparator" w:id="0">
    <w:p w14:paraId="24F9058C" w14:textId="77777777" w:rsidR="00F14ADC" w:rsidRDefault="00F14A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95D"/>
    <w:multiLevelType w:val="hybridMultilevel"/>
    <w:tmpl w:val="BC628B60"/>
    <w:lvl w:ilvl="0" w:tplc="CA9A05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27886"/>
    <w:multiLevelType w:val="multilevel"/>
    <w:tmpl w:val="0FE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075207"/>
    <w:multiLevelType w:val="multilevel"/>
    <w:tmpl w:val="53A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76AD3"/>
    <w:multiLevelType w:val="hybridMultilevel"/>
    <w:tmpl w:val="B850879C"/>
    <w:lvl w:ilvl="0" w:tplc="CD6AD3B8">
      <w:start w:val="1"/>
      <w:numFmt w:val="bullet"/>
      <w:lvlText w:val=""/>
      <w:lvlJc w:val="left"/>
      <w:pPr>
        <w:tabs>
          <w:tab w:val="num" w:pos="171"/>
        </w:tabs>
        <w:ind w:left="171" w:hanging="171"/>
      </w:pPr>
      <w:rPr>
        <w:rFonts w:ascii="Symbol" w:hAnsi="Symbol" w:hint="default"/>
        <w:sz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327"/>
        </w:tabs>
        <w:ind w:left="13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047"/>
        </w:tabs>
        <w:ind w:left="20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767"/>
        </w:tabs>
        <w:ind w:left="27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487"/>
        </w:tabs>
        <w:ind w:left="34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207"/>
        </w:tabs>
        <w:ind w:left="42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927"/>
        </w:tabs>
        <w:ind w:left="49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647"/>
        </w:tabs>
        <w:ind w:left="56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367"/>
        </w:tabs>
        <w:ind w:left="6367" w:hanging="360"/>
      </w:pPr>
      <w:rPr>
        <w:rFonts w:ascii="Wingdings" w:hAnsi="Wingdings" w:hint="default"/>
      </w:rPr>
    </w:lvl>
  </w:abstractNum>
  <w:abstractNum w:abstractNumId="4" w15:restartNumberingAfterBreak="0">
    <w:nsid w:val="1AE31A24"/>
    <w:multiLevelType w:val="multilevel"/>
    <w:tmpl w:val="F4C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2A1D4D"/>
    <w:multiLevelType w:val="hybridMultilevel"/>
    <w:tmpl w:val="8A0A117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C49A8"/>
    <w:multiLevelType w:val="hybridMultilevel"/>
    <w:tmpl w:val="F8903624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032FB0"/>
    <w:multiLevelType w:val="hybridMultilevel"/>
    <w:tmpl w:val="D05E49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D3C3BE2"/>
    <w:multiLevelType w:val="multilevel"/>
    <w:tmpl w:val="2C5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4453B"/>
    <w:multiLevelType w:val="hybridMultilevel"/>
    <w:tmpl w:val="68CE448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F2102"/>
    <w:multiLevelType w:val="hybridMultilevel"/>
    <w:tmpl w:val="0C50A8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AA412BA"/>
    <w:multiLevelType w:val="multilevel"/>
    <w:tmpl w:val="236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B3697"/>
    <w:multiLevelType w:val="hybridMultilevel"/>
    <w:tmpl w:val="009474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9C04340"/>
    <w:multiLevelType w:val="hybridMultilevel"/>
    <w:tmpl w:val="A93287A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33FFA"/>
    <w:multiLevelType w:val="hybridMultilevel"/>
    <w:tmpl w:val="7B201EC8"/>
    <w:lvl w:ilvl="0" w:tplc="8C9EEA4A">
      <w:start w:val="1"/>
      <w:numFmt w:val="bullet"/>
      <w:pStyle w:val="StyledotpointsLeft0cmFirstline0cm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B232F"/>
    <w:multiLevelType w:val="multilevel"/>
    <w:tmpl w:val="E44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045AED"/>
    <w:multiLevelType w:val="hybridMultilevel"/>
    <w:tmpl w:val="DF60DEF0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676CF"/>
    <w:multiLevelType w:val="multilevel"/>
    <w:tmpl w:val="8C9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4E6A59"/>
    <w:multiLevelType w:val="multilevel"/>
    <w:tmpl w:val="28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E4BFC"/>
    <w:multiLevelType w:val="multilevel"/>
    <w:tmpl w:val="A93287A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6B4A6D"/>
    <w:multiLevelType w:val="hybridMultilevel"/>
    <w:tmpl w:val="85AEC52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85EB16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BC4D81"/>
    <w:multiLevelType w:val="multilevel"/>
    <w:tmpl w:val="3AB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DD5393"/>
    <w:multiLevelType w:val="hybridMultilevel"/>
    <w:tmpl w:val="E1480974"/>
    <w:lvl w:ilvl="0" w:tplc="4C08429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2400A62"/>
    <w:multiLevelType w:val="hybridMultilevel"/>
    <w:tmpl w:val="EE34EA82"/>
    <w:lvl w:ilvl="0" w:tplc="C39CC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3615744"/>
    <w:multiLevelType w:val="multilevel"/>
    <w:tmpl w:val="1FC2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E2617"/>
    <w:multiLevelType w:val="multilevel"/>
    <w:tmpl w:val="A93287A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F92105"/>
    <w:multiLevelType w:val="multilevel"/>
    <w:tmpl w:val="DBB2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0248EB"/>
    <w:multiLevelType w:val="hybridMultilevel"/>
    <w:tmpl w:val="484887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7D57DE6"/>
    <w:multiLevelType w:val="hybridMultilevel"/>
    <w:tmpl w:val="832A4CBA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828BB"/>
    <w:multiLevelType w:val="hybridMultilevel"/>
    <w:tmpl w:val="B6F2FEC0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52456847">
    <w:abstractNumId w:val="13"/>
  </w:num>
  <w:num w:numId="2" w16cid:durableId="445084050">
    <w:abstractNumId w:val="5"/>
  </w:num>
  <w:num w:numId="3" w16cid:durableId="1207256556">
    <w:abstractNumId w:val="29"/>
  </w:num>
  <w:num w:numId="4" w16cid:durableId="807089700">
    <w:abstractNumId w:val="20"/>
  </w:num>
  <w:num w:numId="5" w16cid:durableId="2052336116">
    <w:abstractNumId w:val="9"/>
  </w:num>
  <w:num w:numId="6" w16cid:durableId="1373966119">
    <w:abstractNumId w:val="3"/>
  </w:num>
  <w:num w:numId="7" w16cid:durableId="192303697">
    <w:abstractNumId w:val="0"/>
  </w:num>
  <w:num w:numId="8" w16cid:durableId="1177691552">
    <w:abstractNumId w:val="6"/>
  </w:num>
  <w:num w:numId="9" w16cid:durableId="1507666915">
    <w:abstractNumId w:val="25"/>
  </w:num>
  <w:num w:numId="10" w16cid:durableId="1580095465">
    <w:abstractNumId w:val="28"/>
  </w:num>
  <w:num w:numId="11" w16cid:durableId="1576890801">
    <w:abstractNumId w:val="19"/>
  </w:num>
  <w:num w:numId="12" w16cid:durableId="782922238">
    <w:abstractNumId w:val="16"/>
  </w:num>
  <w:num w:numId="13" w16cid:durableId="1325934394">
    <w:abstractNumId w:val="14"/>
  </w:num>
  <w:num w:numId="14" w16cid:durableId="844788267">
    <w:abstractNumId w:val="10"/>
  </w:num>
  <w:num w:numId="15" w16cid:durableId="1744570605">
    <w:abstractNumId w:val="22"/>
  </w:num>
  <w:num w:numId="16" w16cid:durableId="908730456">
    <w:abstractNumId w:val="23"/>
  </w:num>
  <w:num w:numId="17" w16cid:durableId="275870213">
    <w:abstractNumId w:val="12"/>
  </w:num>
  <w:num w:numId="18" w16cid:durableId="1832133404">
    <w:abstractNumId w:val="7"/>
  </w:num>
  <w:num w:numId="19" w16cid:durableId="199972271">
    <w:abstractNumId w:val="27"/>
  </w:num>
  <w:num w:numId="20" w16cid:durableId="789664530">
    <w:abstractNumId w:val="26"/>
  </w:num>
  <w:num w:numId="21" w16cid:durableId="1456438902">
    <w:abstractNumId w:val="1"/>
  </w:num>
  <w:num w:numId="22" w16cid:durableId="196823411">
    <w:abstractNumId w:val="4"/>
  </w:num>
  <w:num w:numId="23" w16cid:durableId="1767264409">
    <w:abstractNumId w:val="21"/>
  </w:num>
  <w:num w:numId="24" w16cid:durableId="865797848">
    <w:abstractNumId w:val="17"/>
  </w:num>
  <w:num w:numId="25" w16cid:durableId="1711568663">
    <w:abstractNumId w:val="15"/>
  </w:num>
  <w:num w:numId="26" w16cid:durableId="141771971">
    <w:abstractNumId w:val="2"/>
  </w:num>
  <w:num w:numId="27" w16cid:durableId="2031058390">
    <w:abstractNumId w:val="24"/>
  </w:num>
  <w:num w:numId="28" w16cid:durableId="167641284">
    <w:abstractNumId w:val="11"/>
  </w:num>
  <w:num w:numId="29" w16cid:durableId="457071419">
    <w:abstractNumId w:val="18"/>
  </w:num>
  <w:num w:numId="30" w16cid:durableId="20892307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D39"/>
    <w:rsid w:val="00001E5D"/>
    <w:rsid w:val="00005519"/>
    <w:rsid w:val="0004094E"/>
    <w:rsid w:val="00077467"/>
    <w:rsid w:val="000A1506"/>
    <w:rsid w:val="000B57B1"/>
    <w:rsid w:val="000D439F"/>
    <w:rsid w:val="000D668F"/>
    <w:rsid w:val="000E35AD"/>
    <w:rsid w:val="000F1522"/>
    <w:rsid w:val="000F3C9B"/>
    <w:rsid w:val="001126C4"/>
    <w:rsid w:val="00124D76"/>
    <w:rsid w:val="00130B08"/>
    <w:rsid w:val="001311EE"/>
    <w:rsid w:val="00134A2D"/>
    <w:rsid w:val="0013547B"/>
    <w:rsid w:val="00137694"/>
    <w:rsid w:val="0015209A"/>
    <w:rsid w:val="00156737"/>
    <w:rsid w:val="00187F04"/>
    <w:rsid w:val="001A2A25"/>
    <w:rsid w:val="001E2035"/>
    <w:rsid w:val="00227FF4"/>
    <w:rsid w:val="0029314D"/>
    <w:rsid w:val="002A73E9"/>
    <w:rsid w:val="002C72D8"/>
    <w:rsid w:val="002D08E4"/>
    <w:rsid w:val="003053F3"/>
    <w:rsid w:val="00305F98"/>
    <w:rsid w:val="003112AD"/>
    <w:rsid w:val="00312315"/>
    <w:rsid w:val="00393214"/>
    <w:rsid w:val="0039345C"/>
    <w:rsid w:val="003A7D39"/>
    <w:rsid w:val="003B5D64"/>
    <w:rsid w:val="003C1D2C"/>
    <w:rsid w:val="003E29C1"/>
    <w:rsid w:val="003F54A1"/>
    <w:rsid w:val="00402015"/>
    <w:rsid w:val="00406207"/>
    <w:rsid w:val="0040713B"/>
    <w:rsid w:val="004120B6"/>
    <w:rsid w:val="00421765"/>
    <w:rsid w:val="004264BC"/>
    <w:rsid w:val="0047332D"/>
    <w:rsid w:val="004805BB"/>
    <w:rsid w:val="004D718E"/>
    <w:rsid w:val="004F541C"/>
    <w:rsid w:val="00534524"/>
    <w:rsid w:val="005455B2"/>
    <w:rsid w:val="00552149"/>
    <w:rsid w:val="00556819"/>
    <w:rsid w:val="005858FD"/>
    <w:rsid w:val="005970F9"/>
    <w:rsid w:val="005B52DD"/>
    <w:rsid w:val="005C1459"/>
    <w:rsid w:val="005C2698"/>
    <w:rsid w:val="005F2140"/>
    <w:rsid w:val="00605A3B"/>
    <w:rsid w:val="00606217"/>
    <w:rsid w:val="006439AD"/>
    <w:rsid w:val="00644D05"/>
    <w:rsid w:val="00657B4A"/>
    <w:rsid w:val="00664B34"/>
    <w:rsid w:val="0066652D"/>
    <w:rsid w:val="00670662"/>
    <w:rsid w:val="006711F0"/>
    <w:rsid w:val="00674CEF"/>
    <w:rsid w:val="00692855"/>
    <w:rsid w:val="006946AA"/>
    <w:rsid w:val="006C583E"/>
    <w:rsid w:val="006E5F13"/>
    <w:rsid w:val="006F6295"/>
    <w:rsid w:val="007042EB"/>
    <w:rsid w:val="0071779A"/>
    <w:rsid w:val="00722190"/>
    <w:rsid w:val="00723BDF"/>
    <w:rsid w:val="00724D22"/>
    <w:rsid w:val="00737300"/>
    <w:rsid w:val="0074133A"/>
    <w:rsid w:val="007805AE"/>
    <w:rsid w:val="007B3D4A"/>
    <w:rsid w:val="007E1AD1"/>
    <w:rsid w:val="007E304A"/>
    <w:rsid w:val="007E39B8"/>
    <w:rsid w:val="0080083F"/>
    <w:rsid w:val="00825339"/>
    <w:rsid w:val="0083649C"/>
    <w:rsid w:val="00852BAA"/>
    <w:rsid w:val="008E0893"/>
    <w:rsid w:val="009149EF"/>
    <w:rsid w:val="00915832"/>
    <w:rsid w:val="00927911"/>
    <w:rsid w:val="0094056C"/>
    <w:rsid w:val="00941D5B"/>
    <w:rsid w:val="00941FEA"/>
    <w:rsid w:val="009532A6"/>
    <w:rsid w:val="00981A7D"/>
    <w:rsid w:val="009840E8"/>
    <w:rsid w:val="009A0A85"/>
    <w:rsid w:val="00A04468"/>
    <w:rsid w:val="00A24422"/>
    <w:rsid w:val="00A61215"/>
    <w:rsid w:val="00A7756A"/>
    <w:rsid w:val="00A90B12"/>
    <w:rsid w:val="00AB12F9"/>
    <w:rsid w:val="00B0382A"/>
    <w:rsid w:val="00B274F1"/>
    <w:rsid w:val="00B60350"/>
    <w:rsid w:val="00B836C7"/>
    <w:rsid w:val="00B851DE"/>
    <w:rsid w:val="00B94CD8"/>
    <w:rsid w:val="00BA327F"/>
    <w:rsid w:val="00BD6826"/>
    <w:rsid w:val="00C15740"/>
    <w:rsid w:val="00C465D4"/>
    <w:rsid w:val="00C5052F"/>
    <w:rsid w:val="00C7287F"/>
    <w:rsid w:val="00C834C7"/>
    <w:rsid w:val="00CA3031"/>
    <w:rsid w:val="00CB394A"/>
    <w:rsid w:val="00CC4CCA"/>
    <w:rsid w:val="00CE540F"/>
    <w:rsid w:val="00CF601E"/>
    <w:rsid w:val="00D06C26"/>
    <w:rsid w:val="00D41B90"/>
    <w:rsid w:val="00D4289C"/>
    <w:rsid w:val="00D46E0A"/>
    <w:rsid w:val="00D606E6"/>
    <w:rsid w:val="00D76CC1"/>
    <w:rsid w:val="00D87A19"/>
    <w:rsid w:val="00DB06E7"/>
    <w:rsid w:val="00DE0CFD"/>
    <w:rsid w:val="00E25A7F"/>
    <w:rsid w:val="00E41055"/>
    <w:rsid w:val="00E465FC"/>
    <w:rsid w:val="00E556F1"/>
    <w:rsid w:val="00E76EB3"/>
    <w:rsid w:val="00E8333D"/>
    <w:rsid w:val="00E93BDA"/>
    <w:rsid w:val="00EB601F"/>
    <w:rsid w:val="00ED4221"/>
    <w:rsid w:val="00ED78D9"/>
    <w:rsid w:val="00F14ADC"/>
    <w:rsid w:val="00F17A65"/>
    <w:rsid w:val="00F27AD0"/>
    <w:rsid w:val="00F363E8"/>
    <w:rsid w:val="00F45E60"/>
    <w:rsid w:val="00F67354"/>
    <w:rsid w:val="00F7773E"/>
    <w:rsid w:val="00F93B95"/>
    <w:rsid w:val="00FC0876"/>
    <w:rsid w:val="00FC0B35"/>
    <w:rsid w:val="00FD5CB8"/>
    <w:rsid w:val="00FE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2546E"/>
  <w15:docId w15:val="{DB35D394-808B-47B2-8FF8-218FC83C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7773E"/>
    <w:rPr>
      <w:rFonts w:ascii="Verdana" w:hAnsi="Verdana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8">
    <w:name w:val="Table Grid 8"/>
    <w:basedOn w:val="a1"/>
    <w:rsid w:val="004264B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3">
    <w:name w:val="header"/>
    <w:basedOn w:val="a"/>
    <w:link w:val="a4"/>
    <w:uiPriority w:val="99"/>
    <w:rsid w:val="00F7773E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F7773E"/>
    <w:pPr>
      <w:tabs>
        <w:tab w:val="center" w:pos="4153"/>
        <w:tab w:val="right" w:pos="8306"/>
      </w:tabs>
    </w:pPr>
  </w:style>
  <w:style w:type="paragraph" w:styleId="a7">
    <w:name w:val="caption"/>
    <w:basedOn w:val="a"/>
    <w:next w:val="a"/>
    <w:qFormat/>
    <w:rsid w:val="00F7773E"/>
    <w:pPr>
      <w:jc w:val="center"/>
    </w:pPr>
    <w:rPr>
      <w:rFonts w:ascii="Times New Roman" w:hAnsi="Times New Roman"/>
      <w:sz w:val="32"/>
      <w:szCs w:val="20"/>
      <w:lang w:val="en-US" w:eastAsia="en-US"/>
    </w:rPr>
  </w:style>
  <w:style w:type="paragraph" w:customStyle="1" w:styleId="tx9000">
    <w:name w:val="tx9000"/>
    <w:rsid w:val="0071779A"/>
    <w:pPr>
      <w:widowControl w:val="0"/>
      <w:tabs>
        <w:tab w:val="left" w:pos="560"/>
        <w:tab w:val="left" w:pos="6400"/>
      </w:tabs>
      <w:jc w:val="both"/>
    </w:pPr>
    <w:rPr>
      <w:rFonts w:ascii="NewYork" w:hAnsi="NewYork"/>
      <w:snapToGrid w:val="0"/>
      <w:sz w:val="24"/>
      <w:lang w:eastAsia="en-US"/>
    </w:rPr>
  </w:style>
  <w:style w:type="table" w:styleId="a8">
    <w:name w:val="Table Grid"/>
    <w:basedOn w:val="a1"/>
    <w:rsid w:val="007177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dotpointsLeft0cmFirstline0cm">
    <w:name w:val="Style dot points + Left:  0 cm First line:  0 cm"/>
    <w:basedOn w:val="a"/>
    <w:rsid w:val="002D08E4"/>
    <w:pPr>
      <w:numPr>
        <w:numId w:val="13"/>
      </w:numPr>
    </w:pPr>
  </w:style>
  <w:style w:type="paragraph" w:styleId="a9">
    <w:name w:val="Balloon Text"/>
    <w:basedOn w:val="a"/>
    <w:link w:val="aa"/>
    <w:rsid w:val="003A7D39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rsid w:val="003A7D39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3F54A1"/>
    <w:pPr>
      <w:ind w:leftChars="200" w:left="480"/>
    </w:pPr>
  </w:style>
  <w:style w:type="character" w:customStyle="1" w:styleId="a4">
    <w:name w:val="頁首 字元"/>
    <w:basedOn w:val="a0"/>
    <w:link w:val="a3"/>
    <w:uiPriority w:val="99"/>
    <w:rsid w:val="00670662"/>
    <w:rPr>
      <w:rFonts w:ascii="Verdana" w:hAnsi="Verdana"/>
      <w:szCs w:val="24"/>
    </w:rPr>
  </w:style>
  <w:style w:type="character" w:customStyle="1" w:styleId="a6">
    <w:name w:val="頁尾 字元"/>
    <w:basedOn w:val="a0"/>
    <w:link w:val="a5"/>
    <w:uiPriority w:val="99"/>
    <w:rsid w:val="00674CEF"/>
    <w:rPr>
      <w:rFonts w:ascii="Verdana" w:hAnsi="Verdana"/>
      <w:szCs w:val="24"/>
    </w:rPr>
  </w:style>
  <w:style w:type="paragraph" w:styleId="Web">
    <w:name w:val="Normal (Web)"/>
    <w:basedOn w:val="a"/>
    <w:uiPriority w:val="99"/>
    <w:semiHidden/>
    <w:unhideWhenUsed/>
    <w:rsid w:val="00187F04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en-US" w:eastAsia="zh-CN"/>
    </w:rPr>
  </w:style>
  <w:style w:type="character" w:styleId="ac">
    <w:name w:val="Hyperlink"/>
    <w:basedOn w:val="a0"/>
    <w:unhideWhenUsed/>
    <w:rsid w:val="00692855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92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8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2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4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5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1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6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1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30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2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7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5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who.int/publications/i/item/9789241516570" TargetMode="External"/><Relationship Id="rId18" Type="http://schemas.openxmlformats.org/officeDocument/2006/relationships/hyperlink" Target="https://developer.apple.com/accessories/Accessory-Design-Guidelines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researchgate.net/publication/230727743_Effectiveness_of_Advanced_Bone_Conduction_Earphones_for_People_Who_Enjoy_Outdoor_Activities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td.gov.hk/tc/publications_and_press_releases/publications/free_publications/index.html" TargetMode="External"/><Relationship Id="rId17" Type="http://schemas.openxmlformats.org/officeDocument/2006/relationships/hyperlink" Target="https://en.wikipedia.org/wiki/Apochroma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xiv.org/html/2603.23640v1" TargetMode="External"/><Relationship Id="rId20" Type="http://schemas.openxmlformats.org/officeDocument/2006/relationships/hyperlink" Target="https://magnetstek.com/the-ultimate-guide-to-n52-neodymium-magnet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ensus2021.gov.hk/doc/pub/21c-summary-results.pdf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leica-camera.com/en-int/photography/understanding-leica-lenses" TargetMode="External"/><Relationship Id="rId23" Type="http://schemas.openxmlformats.org/officeDocument/2006/relationships/hyperlink" Target="https://doi.org/10.1518/001872006777724507" TargetMode="External"/><Relationship Id="rId10" Type="http://schemas.openxmlformats.org/officeDocument/2006/relationships/hyperlink" Target="https://www.censtatd.gov.hk/tc/EIndexbySubject.html?scode=453&amp;pcode=B1130121" TargetMode="External"/><Relationship Id="rId19" Type="http://schemas.openxmlformats.org/officeDocument/2006/relationships/hyperlink" Target="https://www.bluetooth.com/specifications/specs/core-specification-5-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martcity.gov.hk/modules/custom/custom_global_js_css/assets/files/HKSmartCityBlueprint(ENG)v2.pdf" TargetMode="External"/><Relationship Id="rId14" Type="http://schemas.openxmlformats.org/officeDocument/2006/relationships/hyperlink" Target="https://www.docsumo.com/blogs/ocr/accuracy" TargetMode="External"/><Relationship Id="rId22" Type="http://schemas.openxmlformats.org/officeDocument/2006/relationships/hyperlink" Target="https://www.researchgate.net/publication/327937866_A_Usability_and_Safety_Study_of_Bone-Conduction_Headphone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P\My%20Documents\Google%20&#38642;&#31471;&#30828;&#30879;\Innovation%20&amp;%20Change\Change%20Management%20Plan-Template\Change%20Management%20Plan%20Template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Change Management Plan Template 2</Template>
  <TotalTime>218</TotalTime>
  <Pages>11</Pages>
  <Words>1364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Management Plan</vt:lpstr>
    </vt:vector>
  </TitlesOfParts>
  <Company>Southern Cross University</Company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Plan</dc:title>
  <dc:creator>HP</dc:creator>
  <cp:lastModifiedBy>CHEUNG Wing Man Queenie (240060261)</cp:lastModifiedBy>
  <cp:revision>32</cp:revision>
  <cp:lastPrinted>2009-04-05T22:36:00Z</cp:lastPrinted>
  <dcterms:created xsi:type="dcterms:W3CDTF">2017-09-01T02:36:00Z</dcterms:created>
  <dcterms:modified xsi:type="dcterms:W3CDTF">2026-04-23T07:13:00Z</dcterms:modified>
</cp:coreProperties>
</file>