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4C37" w14:textId="46E226E3" w:rsidR="00187F04" w:rsidRPr="00227FF4" w:rsidRDefault="00187F0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創意問題解決（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BUS4904</w:t>
      </w:r>
      <w:r w:rsidR="00E41055">
        <w:rPr>
          <w:rFonts w:ascii="__Inter_Fallback_d9825c" w:hAnsi="__Inter_Fallback_d9825c" w:hint="eastAsia"/>
          <w:sz w:val="36"/>
          <w:szCs w:val="36"/>
          <w:lang w:val="en-US" w:eastAsia="zh-TW"/>
        </w:rPr>
        <w:t>K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）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- 202</w:t>
      </w:r>
      <w:r w:rsidR="00DB06E7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5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/2</w:t>
      </w:r>
      <w:r w:rsidR="00DB06E7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6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 xml:space="preserve"> 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第</w:t>
      </w:r>
      <w:r w:rsidR="001311EE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二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學期</w:t>
      </w:r>
    </w:p>
    <w:p w14:paraId="5B2DAF1C" w14:textId="33CBE27B" w:rsidR="00187F04" w:rsidRPr="00227FF4" w:rsidRDefault="00227FF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香港專業教育學院</w:t>
      </w:r>
      <w:r w:rsidR="001311EE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青衣</w:t>
      </w:r>
      <w:r w:rsidR="00187F04"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分校</w:t>
      </w:r>
    </w:p>
    <w:p w14:paraId="0B5DD7FF" w14:textId="42EEB8A0" w:rsidR="00187F04" w:rsidRPr="00227FF4" w:rsidRDefault="00187F0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團隊專</w:t>
      </w:r>
      <w:r w:rsidRPr="00227FF4">
        <w:rPr>
          <w:rFonts w:ascii="新細明體" w:eastAsia="新細明體" w:hAnsi="新細明體" w:cs="新細明體"/>
          <w:sz w:val="36"/>
          <w:szCs w:val="36"/>
          <w:lang w:val="en-US" w:eastAsia="zh-TW"/>
        </w:rPr>
        <w:t>案</w:t>
      </w:r>
    </w:p>
    <w:p w14:paraId="5FE3D852" w14:textId="77777777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19853CD4" w14:textId="77777777" w:rsidR="000D668F" w:rsidRDefault="00187F04" w:rsidP="000D668F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專案標題：</w:t>
      </w:r>
      <w:r w:rsidR="000D668F" w:rsidRPr="000D668F">
        <w:rPr>
          <w:rFonts w:ascii="新細明體" w:eastAsia="新細明體" w:hAnsi="新細明體" w:cs="新細明體"/>
          <w:sz w:val="36"/>
          <w:szCs w:val="36"/>
          <w:lang w:val="en-US" w:eastAsia="zh-TW"/>
        </w:rPr>
        <w:t>星瞳 (Stellar-Vision)</w:t>
      </w:r>
    </w:p>
    <w:p w14:paraId="46CC11A6" w14:textId="277B5281" w:rsidR="00187F04" w:rsidRPr="00227FF4" w:rsidRDefault="000D668F" w:rsidP="000D668F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0D668F">
        <w:rPr>
          <w:rFonts w:ascii="新細明體" w:eastAsia="新細明體" w:hAnsi="新細明體" w:cs="新細明體"/>
          <w:sz w:val="36"/>
          <w:szCs w:val="36"/>
          <w:lang w:val="en-US" w:eastAsia="zh-TW"/>
        </w:rPr>
        <w:t>普惠式模組化 AI 遠距感官增強系統</w:t>
      </w:r>
    </w:p>
    <w:p w14:paraId="7DD33780" w14:textId="77777777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5266560D" w14:textId="1DCDDE3B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報告撰寫者：</w:t>
      </w:r>
    </w:p>
    <w:p w14:paraId="031330A9" w14:textId="7483B11B" w:rsidR="00187F04" w:rsidRPr="004120B6" w:rsidRDefault="004120B6" w:rsidP="00227FF4">
      <w:pPr>
        <w:spacing w:before="300" w:after="300"/>
        <w:jc w:val="center"/>
        <w:rPr>
          <w:rFonts w:ascii="__Inter_Fallback_d9825c" w:hAnsi="__Inter_Fallback_d9825c" w:hint="eastAsia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李婉君</w:t>
      </w:r>
      <w:r w:rsidRPr="004120B6">
        <w:rPr>
          <w:rFonts w:ascii="__Inter_Fallback_d9825c" w:eastAsia="Times New Roman" w:hAnsi="__Inter_Fallback_d9825c" w:hint="eastAsia"/>
          <w:sz w:val="36"/>
          <w:szCs w:val="36"/>
          <w:lang w:val="en-US" w:eastAsia="zh-TW"/>
        </w:rPr>
        <w:t xml:space="preserve"> </w:t>
      </w: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(240060273)</w:t>
      </w:r>
    </w:p>
    <w:p w14:paraId="002CA8A8" w14:textId="329B34C7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張穎敏 (240060261)</w:t>
      </w:r>
    </w:p>
    <w:p w14:paraId="0B51685C" w14:textId="1932F5B7" w:rsidR="00187F04" w:rsidRPr="004120B6" w:rsidRDefault="004120B6" w:rsidP="00227FF4">
      <w:pPr>
        <w:spacing w:before="300" w:after="300"/>
        <w:jc w:val="center"/>
        <w:rPr>
          <w:rFonts w:ascii="__Inter_Fallback_d9825c" w:hAnsi="__Inter_Fallback_d9825c" w:hint="eastAsia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趙靜怡</w:t>
      </w: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 xml:space="preserve"> (240112907)</w:t>
      </w:r>
    </w:p>
    <w:p w14:paraId="7695A0F9" w14:textId="529E6A80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陳俊傑 (240445892)</w:t>
      </w:r>
    </w:p>
    <w:p w14:paraId="67802E36" w14:textId="5746D902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彭浩霖 (240363468)</w:t>
      </w:r>
    </w:p>
    <w:p w14:paraId="29D46E47" w14:textId="14BAA5C8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吕贺</w:t>
      </w: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 xml:space="preserve"> (</w:t>
      </w:r>
      <w:r w:rsidRPr="004120B6">
        <w:rPr>
          <w:rFonts w:ascii="新細明體" w:eastAsia="新細明體" w:hAnsi="新細明體" w:cs="新細明體"/>
          <w:sz w:val="36"/>
          <w:szCs w:val="36"/>
          <w:lang w:val="en-US" w:eastAsia="zh-TW"/>
        </w:rPr>
        <w:t>240289288</w:t>
      </w: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)</w:t>
      </w:r>
    </w:p>
    <w:p w14:paraId="3DE22547" w14:textId="77777777" w:rsidR="00227FF4" w:rsidRDefault="00227FF4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749FB35B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6AC33DA4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0267DF54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28A5DB3C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/>
    <w:p>
      <w:r>
        <w:t>9. 參考文獻 (References)</w:t>
      </w:r>
    </w:p>
    <w:p>
      <w:r>
        <w:t>8. 結論</w:t>
      </w:r>
    </w:p>
    <w:p>
      <w:r>
        <w:t>7. 可能風險和限制的評估</w:t>
      </w:r>
    </w:p>
    <w:p>
      <w:r>
        <w:t>6. 如何使用該產品解決問題（雙軌並行應用）</w:t>
      </w:r>
    </w:p>
    <w:p>
      <w:r>
        <w:t>5. 最終產品的規格</w:t>
      </w:r>
    </w:p>
    <w:p>
      <w:r>
        <w:t>4. 想法評估</w:t>
      </w:r>
    </w:p>
    <w:p>
      <w:r>
        <w:t>3. 創意產生</w:t>
      </w:r>
    </w:p>
    <w:p>
      <w:r>
        <w:t>2. 問題辨識</w:t>
      </w:r>
    </w:p>
    <w:p>
      <w:r>
        <w:t>1. 引言</w:t>
      </w:r>
    </w:p>
    <w:p>
      <w:r>
        <w:t>目錄</w:t>
      </w:r>
    </w:p>
    <w:p>
      <w:r>
        <w:fldChar w:fldCharType="begin"/>
        <w:instrText xml:space="preserve">TOC \o "1-3" \h \z \u</w:instrText>
        <w:fldChar w:fldCharType="separate"/>
        <w:t>請在 Word 內按右鍵「更新欄位」以顯示最新頁碼</w:t>
        <w:fldChar w:fldCharType="end"/>
      </w:r>
    </w:p>
    <w:p w14:paraId="7E8DC2D7" w14:textId="03570EDF" w:rsidR="00187F04" w:rsidRPr="00227FF4" w:rsidRDefault="00187F04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  <w:outlineLvl w:val="0"/>
      </w:pPr>
      <w:r w:rsidRPr="00227FF4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引</w:t>
      </w:r>
      <w:r w:rsidRPr="00227FF4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言</w:t>
      </w:r>
    </w:p>
    <w:p w14:paraId="156D4438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現有的輔助工具（例如白手杖或廣角 AI 眼鏡）存在明顯的「感知斷層」。白手杖的物理覆蓋範圍僅約 1.2 至 1.5 米，而廣角 AI 眼鏡雖能辨識近處，但在 50 米外的環境（如路牌、巴士編號）會因像素擴散導致 AI 辨識失敗。根據香港政府統計處數據，全港約有 174,800 名視覺困難人士，當中逾 70% 依賴公共交通工具出行[2][4]。他們極度缺乏「導航預判時間」，這不僅造成出行焦慮，也影響獨立生活的尊嚴。</w:t>
      </w:r>
    </w:p>
    <w:p w14:paraId="1BDEE034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此外，一般大眾市場也面臨著探索世界的經濟與空間雙重門檻。一套專業級 APO 望遠鏡系統售價通常高達 HKD 8,000 至 15,000，且平均每月使用率極低。同時，香港住宅人均居住面積僅約 161 平方英尺[3]，使得體積龐大且笨重的專業光學設備難以存放與攜帶。</w:t>
      </w:r>
    </w:p>
    <w:p w14:paraId="63ABF70A" w14:textId="4DE6418B" w:rsidR="00187F04" w:rsidRPr="00227FF4" w:rsidRDefault="00187F04" w:rsidP="000D668F">
      <w:pPr>
        <w:rPr>
          <w:rFonts w:ascii="Arial" w:hAnsi="Arial" w:cs="Arial"/>
          <w:sz w:val="28"/>
          <w:szCs w:val="28"/>
          <w:lang w:eastAsia="zh-TW"/>
        </w:rPr>
      </w:pPr>
      <w:r w:rsidRPr="00227FF4">
        <w:rPr>
          <w:rFonts w:ascii="Arial" w:hAnsi="Arial" w:cs="Arial"/>
          <w:sz w:val="28"/>
          <w:szCs w:val="28"/>
          <w:lang w:eastAsia="zh-TW"/>
        </w:rPr>
        <w:br w:type="page"/>
      </w:r>
    </w:p>
    <w:p w14:paraId="41997313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  <w:outlineLvl w:val="0"/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問題辨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識</w:t>
      </w:r>
    </w:p>
    <w:p w14:paraId="65AF7892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根據上述的情況分析，問題可以定義為以下陳述：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「如何開發一款能同時解決視障人士長距離導航預判需求，並打破大眾探索觀測之經濟與空間門檻的普惠式感官增強產品？」</w:t>
      </w:r>
    </w:p>
    <w:p w14:paraId="1377BA46" w14:textId="396FEE23" w:rsidR="00187F04" w:rsidRPr="000D668F" w:rsidRDefault="00187F04" w:rsidP="00227FF4">
      <w:pPr>
        <w:rPr>
          <w:rFonts w:ascii="Arial" w:hAnsi="Arial" w:cs="Arial"/>
          <w:sz w:val="36"/>
          <w:szCs w:val="36"/>
          <w:lang w:val="en-US" w:eastAsia="zh-TW"/>
        </w:rPr>
      </w:pPr>
      <w:r w:rsidRPr="00227FF4">
        <w:rPr>
          <w:rFonts w:ascii="Arial" w:hAnsi="Arial" w:cs="Arial"/>
          <w:sz w:val="36"/>
          <w:szCs w:val="36"/>
          <w:lang w:eastAsia="zh-TW"/>
        </w:rPr>
        <w:br w:type="page"/>
      </w:r>
    </w:p>
    <w:p w14:paraId="2321E86F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  <w:outlineLvl w:val="0"/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創意產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生</w:t>
      </w:r>
    </w:p>
    <w:p w14:paraId="1AB61782" w14:textId="6A255C31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proofErr w:type="gramStart"/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本組透過</w:t>
      </w:r>
      <w:proofErr w:type="gramEnd"/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SCAMPER 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模型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進行發散思維，打破傳統產品「昂貴、笨重、單一功能」的框架。以下是針對產品與業務構想的描述：</w:t>
      </w:r>
    </w:p>
    <w:p w14:paraId="56B094DE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替代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(Substitute)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以用戶現有智慧手機的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NPU (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神經網絡處理單元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算力與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4K LTPO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螢幕，替代昂貴的獨立處理主機與高價目鏡，大幅降低設備成本。</w:t>
      </w:r>
    </w:p>
    <w:p w14:paraId="4F4BDCCB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組合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(Combine)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創新地將工業級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APO (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複消色散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光學鏡片技術與消費級的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MagSafe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磁吸生態系統相結合，創造出模組化的硬體架構。</w:t>
      </w:r>
    </w:p>
    <w:p w14:paraId="2C6230EA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縮減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</w:t>
      </w:r>
      <w:proofErr w:type="spellStart"/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Minimise</w:t>
      </w:r>
      <w:proofErr w:type="spellEnd"/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應用先進的折疊光路技術，將傳統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500mm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的焦距設備大幅壓縮至僅重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35g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的口袋化核心模組，解決攜帶痛點。</w:t>
      </w:r>
    </w:p>
    <w:p w14:paraId="4DFB3A54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修正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(Modify)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針對視障者的安全需求，修正傳統耳機設計，採用</w:t>
      </w:r>
      <w:r w:rsidRPr="0004094E">
        <w:rPr>
          <w:rFonts w:asciiTheme="minorHAnsi" w:hAnsiTheme="minorHAnsi" w:cstheme="minorHAnsi"/>
          <w:sz w:val="36"/>
          <w:szCs w:val="36"/>
          <w:lang w:val="en-US" w:eastAsia="zh-TW"/>
        </w:rPr>
        <w:t>骨傳導音訊</w:t>
      </w:r>
      <w:r w:rsidRPr="0004094E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(Bone Conduction)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，確保用戶在接收語音導航時，耳道不被遮蔽，能持續監控環境音（如車流聲、警笛聲），消除安全隱患。</w:t>
      </w:r>
    </w:p>
    <w:p w14:paraId="39F980A2" w14:textId="77777777" w:rsidR="000D668F" w:rsidRPr="004120B6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用途轉移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(Put to other use)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將核心模組設計為「萬能接口」。它不僅能掛載於視障者的「導盲鏡架」上提供導航，也能吸附於一般大眾的「手機背板」上，作為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STEM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教育望遠鏡或演唱會長焦鏡頭，實現橫向市場擴展。</w:t>
      </w:r>
    </w:p>
    <w:p w14:paraId="5A8747FD" w14:textId="07186829" w:rsidR="00187F04" w:rsidRPr="00B274F1" w:rsidRDefault="00B274F1" w:rsidP="0004094E">
      <w:pPr>
        <w:ind w:left="720"/>
        <w:jc w:val="center"/>
        <w:rPr>
          <w:rFonts w:ascii="Arial" w:hAnsi="Arial" w:cs="Arial"/>
          <w:sz w:val="36"/>
          <w:szCs w:val="36"/>
          <w:lang w:val="en-US" w:eastAsia="zh-TW"/>
        </w:rPr>
      </w:pPr>
      <w:r>
        <w:rPr>
          <w:rFonts w:ascii="Arial" w:hAnsi="Arial" w:cs="Arial"/>
          <w:noProof/>
          <w:sz w:val="36"/>
          <w:szCs w:val="36"/>
          <w:lang w:eastAsia="zh-TW"/>
        </w:rPr>
        <w:drawing>
          <wp:inline distT="0" distB="0" distL="0" distR="0" wp14:anchorId="3DD77C83" wp14:editId="6EF5B1EF">
            <wp:extent cx="4389143" cy="2390775"/>
            <wp:effectExtent l="0" t="0" r="0" b="0"/>
            <wp:docPr id="3139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16" cy="239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7220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  <w:outlineLvl w:val="0"/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想法評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估</w:t>
      </w:r>
    </w:p>
    <w:p w14:paraId="4FF0874A" w14:textId="77777777" w:rsidR="000D668F" w:rsidRPr="000D668F" w:rsidRDefault="000D668F" w:rsidP="000D668F">
      <w:pPr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</w:pP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我們針對市場上三類代表性方案設立了評估標準，包含：有效感知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/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辨識距離、安全預判反應時間、影像辨識準確率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 xml:space="preserve"> (50m)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、存放與攜帶成本、經濟可負擔性及目標市場覆蓋率。</w:t>
      </w:r>
    </w:p>
    <w:p w14:paraId="5982FF18" w14:textId="77777777" w:rsidR="000D668F" w:rsidRPr="000D668F" w:rsidRDefault="000D668F" w:rsidP="000D668F">
      <w:pPr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</w:pP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經過決策矩陣對比：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08"/>
        <w:gridCol w:w="2196"/>
        <w:gridCol w:w="2011"/>
        <w:gridCol w:w="2641"/>
      </w:tblGrid>
      <w:tr w:rsidR="00DE0CFD" w:rsidRPr="00DE0CFD" w14:paraId="04533770" w14:textId="77777777" w:rsidTr="00DE0C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FA1B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評估維度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CF19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傳統導盲工具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白手杖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CB43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主流廣角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AI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眼鏡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AD968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星瞳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(Stellar-Vision)</w:t>
            </w:r>
          </w:p>
        </w:tc>
      </w:tr>
      <w:tr w:rsidR="00DE0CFD" w:rsidRPr="00DE0CFD" w14:paraId="419B40AC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27033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有效感知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/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辨識距離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703F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1.5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物理接觸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FA70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數位廣角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73C90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50 - 500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物理長焦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21082BF9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CD096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安全預判反應時間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FCF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~1.25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8180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~4.16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DAAA3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41.6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提升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10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倍以上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5822291B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BB37E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影像辨識準確率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(50m)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71BFE9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C575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&lt; 20%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像素模糊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05F3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&gt; 90% (APO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高清成像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3D7BB09F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FE65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存放與攜帶成本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5A41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可摺疊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642C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一般眼鏡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BCBF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極優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(35g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口袋模組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380B1FCA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395F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經濟可負擔性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CBBC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極低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DCBF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高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(HKD 15,000+)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5AAE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(HKD 1,800 - 2,500)</w:t>
            </w:r>
          </w:p>
        </w:tc>
      </w:tr>
      <w:tr w:rsidR="00DE0CFD" w:rsidRPr="00DE0CFD" w14:paraId="061117C1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F4C32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目標市場覆蓋率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ADC67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僅視障者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(17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624C7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僅視障者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(17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D931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全大眾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(200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+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潛在用戶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</w:tbl>
    <w:p w14:paraId="76C2F8A7" w14:textId="34181924" w:rsidR="00187F04" w:rsidRPr="00C834C7" w:rsidRDefault="00187F04" w:rsidP="00DE0CFD">
      <w:pPr>
        <w:ind w:left="720"/>
        <w:jc w:val="center"/>
        <w:rPr>
          <w:rFonts w:ascii="Arial" w:hAnsi="Arial" w:cs="Arial"/>
          <w:color w:val="FF0000"/>
          <w:sz w:val="36"/>
          <w:szCs w:val="36"/>
          <w:lang w:eastAsia="zh-TW"/>
        </w:rPr>
      </w:pPr>
      <w:r w:rsidRPr="00C834C7">
        <w:rPr>
          <w:rFonts w:ascii="Arial" w:hAnsi="Arial" w:cs="Arial"/>
          <w:color w:val="FF0000"/>
          <w:sz w:val="36"/>
          <w:szCs w:val="36"/>
          <w:lang w:eastAsia="zh-TW"/>
        </w:rPr>
        <w:br w:type="page"/>
      </w:r>
    </w:p>
    <w:p w14:paraId="757A154C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CN"/>
        </w:rPr>
        <w:outlineLvl w:val="0"/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CN"/>
        </w:rPr>
        <w:lastRenderedPageBreak/>
        <w:t>最終產品的規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CN"/>
        </w:rPr>
        <w:t>格</w:t>
      </w:r>
    </w:p>
    <w:p w14:paraId="6E3DC5EA" w14:textId="77777777" w:rsidR="00BD6826" w:rsidRPr="00BD6826" w:rsidRDefault="00BD6826" w:rsidP="00BD6826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「星瞳 (Stellar-Vision)」的核心是一個重量僅 35g 的磁吸核心 (Universal Core)。光學引擎採用三片式 APO 複消色散鏡組，能有效修正紅、綠、藍三色光的折射偏差。在 50 米外，它能提供高對比原始像素流，使 AI OCR (光學字元辨識) 的文字識別率從傳統的 15% 大幅提升至 94%[6]。這確保了系統能精準辨識如進站巴士編號等關鍵資訊。</w:t>
      </w:r>
    </w:p>
    <w:p w14:paraId="08B12E06" w14:textId="77777777" w:rsidR="00BD6826" w:rsidRPr="004120B6" w:rsidRDefault="00BD6826" w:rsidP="0004094E">
      <w:pPr>
        <w:jc w:val="center"/>
        <w:rPr>
          <w:rFonts w:asciiTheme="minorHAnsi" w:hAnsiTheme="minorHAnsi" w:cstheme="minorHAnsi"/>
          <w:sz w:val="36"/>
          <w:szCs w:val="36"/>
          <w:lang w:eastAsia="zh-TW"/>
        </w:rPr>
      </w:pPr>
      <w:r w:rsidRPr="004120B6">
        <w:rPr>
          <w:rFonts w:asciiTheme="minorHAnsi" w:hAnsiTheme="minorHAnsi" w:cstheme="minorHAnsi"/>
          <w:noProof/>
          <w:sz w:val="36"/>
          <w:szCs w:val="36"/>
          <w:lang w:val="en-US" w:eastAsia="zh-TW"/>
        </w:rPr>
        <w:drawing>
          <wp:inline distT="0" distB="0" distL="0" distR="0" wp14:anchorId="4222DCFB" wp14:editId="41AEEE38">
            <wp:extent cx="2914650" cy="1587616"/>
            <wp:effectExtent l="0" t="0" r="0" b="0"/>
            <wp:docPr id="12338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18" cy="159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9E06" w14:textId="77777777" w:rsidR="00BD6826" w:rsidRPr="00BD6826" w:rsidRDefault="00BD6826" w:rsidP="00BD6826">
      <w:pPr>
        <w:rPr>
          <w:rFonts w:asciiTheme="minorHAnsi" w:hAnsiTheme="minorHAnsi" w:cstheme="minorHAnsi"/>
          <w:sz w:val="36"/>
          <w:szCs w:val="36"/>
          <w:lang w:val="en-US" w:eastAsia="zh-TW"/>
        </w:rPr>
        <w:outlineLvl w:val="0"/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如何使用該產品解決問題（雙軌並行應用）：</w:t>
      </w:r>
    </w:p>
    <w:p w14:paraId="74E73A19" w14:textId="77777777" w:rsidR="00BD6826" w:rsidRPr="00BD6826" w:rsidRDefault="00BD6826" w:rsidP="00BD6826">
      <w:pPr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軌道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A - 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輔助視障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(Vision Guard)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視障用戶將核心模組磁吸於專用導盲鏡架上。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AI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系統會自動鎖定前方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米的路牌或巴士資訊，並透過鏡架上的骨傳導裝置進行語音預判播報，提供充裕的反應時間，同時確保環境音與導航音互不干擾。</w:t>
      </w:r>
    </w:p>
    <w:p w14:paraId="65ACBCD4" w14:textId="77777777" w:rsidR="00BD6826" w:rsidRPr="00BD6826" w:rsidRDefault="00BD6826" w:rsidP="00BD6826">
      <w:pPr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軌道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B - 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大眾探索：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一般大眾可將模組吸附於手機背板。作為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STEM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教育夾，學生能以極低成本將手機升級為專業望遠鏡；作為追星神器，支援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4K 60fps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錄影，滿足演唱會後排觀眾的高清拍攝需求。</w:t>
      </w:r>
    </w:p>
    <w:p w14:paraId="55FAD827" w14:textId="13A39408" w:rsidR="00187F04" w:rsidRDefault="00BD6826" w:rsidP="00227FF4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本專案的關鍵成功因素在於其橫向擴展邏輯：透過切入大眾市場（如演唱會、STEM教育），將核心 APO 鏡片模組的採購量提升至百萬級別，從而使硬體成本下降 60% 以上。這使大眾市場的銷售利潤能夠反哺公益，補貼視障版本的成本；同時，大眾用戶在使用過程中產生的環境影像數據，在取得明確同意並完成去識別化處理後，可用於持續訓練並優化 AI 模型，形成強大的生態護城河[20]。</w:t>
      </w:r>
    </w:p>
    <w:p w14:paraId="790F7D8E" w14:textId="77777777" w:rsidR="004120B6" w:rsidRPr="004120B6" w:rsidRDefault="004120B6" w:rsidP="00227FF4">
      <w:pPr>
        <w:rPr>
          <w:rFonts w:asciiTheme="minorHAnsi" w:hAnsiTheme="minorHAnsi" w:cstheme="minorHAnsi"/>
          <w:sz w:val="36"/>
          <w:szCs w:val="36"/>
          <w:lang w:val="en-US" w:eastAsia="zh-TW"/>
        </w:rPr>
      </w:pPr>
    </w:p>
    <w:p w14:paraId="3C58C784" w14:textId="77777777" w:rsidR="00CF601E" w:rsidRPr="002C72D8" w:rsidRDefault="00CF601E" w:rsidP="00C834C7">
      <w:pPr>
        <w:pBdr>
          <w:bottom w:val="single" w:sz="4" w:space="1" w:color="auto"/>
        </w:pBdr>
        <w:rPr>
          <w:rFonts w:ascii="__Inter_Fallback_d9825c" w:hAnsi="__Inter_Fallback_d9825c" w:hint="eastAsia"/>
          <w:b/>
          <w:bCs/>
          <w:sz w:val="36"/>
          <w:szCs w:val="36"/>
          <w:shd w:val="clear" w:color="auto" w:fill="F9FAFB"/>
          <w:lang w:eastAsia="zh-TW"/>
        </w:rPr>
        <w:outlineLvl w:val="0"/>
      </w:pP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lastRenderedPageBreak/>
        <w:t>可能風險和限制的評估</w:t>
      </w: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t xml:space="preserve"> </w:t>
      </w:r>
    </w:p>
    <w:p w14:paraId="0AAD3362" w14:textId="77777777" w:rsidR="00BD6826" w:rsidRPr="00BD6826" w:rsidRDefault="00BD6826" w:rsidP="00BD6826">
      <w:p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本系統在落實過程中可能面臨以下風險與解決方案：</w:t>
      </w:r>
    </w:p>
    <w:p w14:paraId="3198E2BC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>
        <w:t>環境能見度限制： 濃霧或暴雨等惡劣天氣會限制物理光學成像。為此，系統內建防護機制，自動檢測影像信心值，當低於 60% 時，將自動聯動政府 Open Data API（如實時巴士預報、地圖導航數據）進行語音輔助播報[4]。</w:t>
      </w:r>
    </w:p>
    <w:p w14:paraId="513F1F9C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>
        <w:t>社會私隱疑慮： 設備配備長焦鏡頭，在公共場合可能引發路人不安。我們將在設備前方設置明顯的物理工作燈 (Active LED) 以示狀態，並嚴格採用去識別化的邊緣運算技術。根據香港《個人資料（私隱）條例》（PDPO, Cap. 486）之資料保障原則 4（DPP4），影像數據僅在設備本地進行語義提取後即時銷毀，絕不儲存或上傳原始影像[20]。</w:t>
      </w:r>
    </w:p>
    <w:p w14:paraId="7DAC914A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shd w:val="clear" w:color="auto" w:fill="F9FAFB"/>
          <w:lang w:val="en-US" w:eastAsia="zh-TW"/>
        </w:rPr>
        <w:t>心理標籤：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視障者往往不願佩戴外觀顯得「特殊」或「殘障」的設備。因此，產品採用極簡主義設計，日常佩戴的鏡架外觀與普通時尚眼鏡無異。核心光學模組採用可拆卸設計，僅在戶外需要長距離導航時才以磁吸方式快速加裝。</w:t>
      </w:r>
    </w:p>
    <w:p w14:paraId="14C3287A" w14:textId="34D92D57" w:rsidR="00187F04" w:rsidRPr="004120B6" w:rsidRDefault="00187F04" w:rsidP="00227FF4">
      <w:pPr>
        <w:rPr>
          <w:rFonts w:asciiTheme="minorHAnsi" w:hAnsiTheme="minorHAnsi" w:cstheme="minorHAnsi"/>
          <w:sz w:val="28"/>
          <w:szCs w:val="28"/>
          <w:lang w:eastAsia="zh-TW"/>
        </w:rPr>
      </w:pPr>
      <w:r w:rsidRPr="004120B6">
        <w:rPr>
          <w:rFonts w:asciiTheme="minorHAnsi" w:hAnsiTheme="minorHAnsi" w:cstheme="minorHAnsi"/>
          <w:sz w:val="28"/>
          <w:szCs w:val="28"/>
          <w:lang w:eastAsia="zh-TW"/>
        </w:rPr>
        <w:br w:type="page"/>
      </w:r>
    </w:p>
    <w:p w14:paraId="5AF64513" w14:textId="77777777" w:rsidR="00CF601E" w:rsidRPr="002C72D8" w:rsidRDefault="00CF601E" w:rsidP="00C834C7">
      <w:pPr>
        <w:pBdr>
          <w:bottom w:val="single" w:sz="4" w:space="1" w:color="auto"/>
        </w:pBdr>
        <w:rPr>
          <w:rFonts w:ascii="__Inter_Fallback_d9825c" w:hAnsi="__Inter_Fallback_d9825c" w:hint="eastAsia"/>
          <w:b/>
          <w:bCs/>
          <w:sz w:val="36"/>
          <w:szCs w:val="36"/>
          <w:shd w:val="clear" w:color="auto" w:fill="F9FAFB"/>
          <w:lang w:eastAsia="zh-TW"/>
        </w:rPr>
        <w:outlineLvl w:val="0"/>
      </w:pP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lastRenderedPageBreak/>
        <w:t>結論</w:t>
      </w: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t xml:space="preserve"> </w:t>
      </w:r>
    </w:p>
    <w:p w14:paraId="2AD104EF" w14:textId="77777777" w:rsidR="00BD6826" w:rsidRPr="00BD6826" w:rsidRDefault="00BD6826" w:rsidP="00BD6826">
      <w:p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「星瞳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(Stellar-Vision)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」成功將原本昂貴、笨重且局限於小眾專業領域的光學技術，轉化為輕便、普惠的民生工具。它不僅精準解決了視障者對於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米外「安全預判」的核心剛需，更透過創新的跨界整合設計與模組化架構，打破了廣大市民探索世界的空間與經濟門檻。這是一項兼具深厚社會關懷理念，同時具備巨大市場擴展潛力與可持續發展性的商業解決方案。</w:t>
      </w:r>
    </w:p>
    <w:p w14:paraId="491A9327" w14:textId="4C6070B7" w:rsidR="00187F04" w:rsidRDefault="00187F04" w:rsidP="00BD6826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 w14:paraId="6A9C3DB3" w14:textId="77777777" w:rsidR="00B274F1" w:rsidRDefault="00B274F1" w:rsidP="00BD6826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 w14:paraId="71E1FD1F" w14:textId="64DF301D" w:rsidR="00692855" w:rsidRDefault="00692855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  <w:br w:type="page"/>
      </w:r>
    </w:p>
    <w:p w14:paraId="4F41F509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outlineLvl w:val="0"/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>參考文獻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(References)</w:t>
      </w:r>
    </w:p>
    <w:p w14:paraId="30623A8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1.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社會統計、需求量化與政府政策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(Social Statistics, Demand &amp; Government Policy)</w:t>
      </w:r>
    </w:p>
    <w:p w14:paraId="436D1CB9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[1] 香港特別行政區政府創新及科技局 [Innovation and Technology Bureau]. (2020). 香港智慧城市藍圖 2.0 [Hong Kong Smart City Blueprint 2.0]. 檢自 https://www.smartcity.gov.hk/modules/custom/custom_global_js_css/assets/files/HKSmartCityBlueprint(ENG)v2.pdf</w:t>
      </w:r>
    </w:p>
    <w:p w14:paraId="4BF3B57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政策佐證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呼應政府對於智慧出行與數位包容的發展方向，證明輔助科技產品的市場契合度。</w:t>
      </w:r>
    </w:p>
    <w:p w14:paraId="5F85119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[2] 香港特別行政區政府統計處 [Census and Statistics Department]. (2014). 從綜合住戶統計調查搜集所得的社會資料：第 62 號專題報告書 (殘疾人士及長期病患者) [Thematic Household Survey Report No. 62: Persons with disabilities and chronic diseases]. 檢自 https://www.censtatd.gov.hk/tc/EIndexbySubject.html?scode=453&amp;pcode=B1130121</w:t>
      </w:r>
    </w:p>
    <w:p w14:paraId="0F00774B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需求佐證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提供全港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174,800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名視覺困難人士的基數與出行習慣數據，量化了「感知斷層」的社會影響規模。</w:t>
      </w:r>
    </w:p>
    <w:p w14:paraId="1FED3CE2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[3] 香港特別行政區政府統計處 [Census and Statistics Department]. (2022). 2021 年人口普查：簡要報告 [2021 Population Census: Summary Results]. 檢自 https://www.census2021.gov.hk/doc/pub/21c-summary-results.pdf</w:t>
      </w:r>
    </w:p>
    <w:p w14:paraId="6B456C4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市場痛點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透過人均居住空間數據，佐證大眾市場對於設備「口袋化」與極致輕量化（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35g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）的剛性需求。</w:t>
      </w:r>
    </w:p>
    <w:p w14:paraId="61572F1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[4] 香港特別行政區政府運輸署 [Transport Department]. (2021). 公共交通服務統計摘要 [Statistical Abstract on Public Transport Services]. 檢自 https://www.td.gov.hk/tc/publications_and_press_releases/publications/free_publications/index.html</w:t>
      </w:r>
    </w:p>
    <w:p w14:paraId="68B65CCB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應用場景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數據顯示逾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70%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視障人士依賴巴士出行，支持專案針對「巴士辨識」作為核心功能點。</w:t>
      </w:r>
    </w:p>
    <w:p w14:paraId="3712D6F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[5] World Health Organization (WHO). (2023). World report on vision. Retrieved from https://www.who.int/publications/i/item/9789241516570</w:t>
      </w:r>
    </w:p>
    <w:p w14:paraId="68CDF8A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普惠佐證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強調低成本輔助技術的迫切性，支持本方案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HKD 1,800 - 2,500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親民定價的破壞性競爭力。</w:t>
      </w:r>
    </w:p>
    <w:p w14:paraId="40C82117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159FAC35">
          <v:rect id="_x0000_i1025" style="width:0;height:1.5pt" o:hralign="center" o:hrstd="t" o:hr="t" fillcolor="#a0a0a0" stroked="f"/>
        </w:pict>
      </w:r>
    </w:p>
    <w:p w14:paraId="58AA38B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2.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光學技術、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AI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運算與辨識效能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(Optical Technology, AI &amp; Recognition Performance)</w:t>
      </w:r>
    </w:p>
    <w:p w14:paraId="154E714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[6] Docsumo. (2023). Analysis and Benchmarking of OCR Accuracy for Data Extraction Models. Retrieved from https://www.docsumo.com/blogs/ocr/accuracy</w:t>
      </w:r>
    </w:p>
    <w:p w14:paraId="7D5CEF2F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技術佐證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說明距離與像素密度衰減對辨識率的影響，論證廣角眼鏡在遠距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OCR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失敗的物理限制。</w:t>
      </w:r>
    </w:p>
    <w:p w14:paraId="7150CCF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[7] Hill, M., &amp; Hengchen, S. (2020). Assessing the Impact of OCR Quality on Downstream NLP Tasks. Proceedings of the 12th Language Resources and Evaluation Conference, 6235–6243.</w:t>
      </w:r>
    </w:p>
    <w:p w14:paraId="43D4195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效能基準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界定辨識率需高於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80%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才能確保導航模型的可靠性，佐證本專案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&gt;90%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辨識率的優勢。</w:t>
      </w:r>
    </w:p>
    <w:p w14:paraId="3ADCF0F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[8] Leica Camera AG. (n.d.). The Science Behind the Lens: Apochromatic Correction (APO) in Precision Optics. Leica Academy Technical Papers. Retrieved from https://leica-camera.com/en-int/photography/understanding-leica-lenses</w:t>
      </w:r>
    </w:p>
    <w:p w14:paraId="49148C0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規格佐證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詳細解釋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APO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鏡組如何提供高清原始像素流，解決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米外因色散導致辨識失敗的問題。</w:t>
      </w:r>
    </w:p>
    <w:p w14:paraId="344C6B5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[9] Perez, M., et al. (2026). LLM Inference at the Edge: Mobile, NPU, and GPU Performance Efficiency Trade-offs Under Sustained Load. arXiv preprint. https://arxiv.org/html/2603.23640v1</w:t>
      </w:r>
    </w:p>
    <w:p w14:paraId="72BDD18C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運算佐證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提供手機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NPU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處理實時影像的算力優勢數據，支持「替代」傳統昂貴處理主機的構想。</w:t>
      </w:r>
    </w:p>
    <w:p w14:paraId="771CE0D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[10] Smith, R. (2007). An Overview of the Tesseract OCR Engine. Proceedings of the Ninth International Conference on Document Analysis and Recognition (ICDAR).</w:t>
      </w:r>
    </w:p>
    <w:p w14:paraId="29EB8BF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[AI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效能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說明高清影像對對比度與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OCR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成功率的關鍵性影響，支持本專案在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米外達成高辨識率的宣稱。</w:t>
      </w:r>
    </w:p>
    <w:p w14:paraId="4C65BBE1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[11] Wikipedia. (2024). Apochromat: Theory and Application of Color Correction. Retrieved from https://en.wikipedia.org/wiki/Apochromat</w:t>
      </w:r>
    </w:p>
    <w:p w14:paraId="75E57A3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學理基礎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提供複消色散鏡片的物理與光學原理支持。</w:t>
      </w:r>
    </w:p>
    <w:p w14:paraId="7F8E2A6D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299E33B0">
          <v:rect id="_x0000_i1026" style="width:0;height:1.5pt" o:hralign="center" o:hrstd="t" o:hr="t" fillcolor="#a0a0a0" stroked="f"/>
        </w:pict>
      </w:r>
    </w:p>
    <w:p w14:paraId="0BFE9C7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3.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工業設計、磁吸生態與硬體規範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(Industrial Design, Magnetic Ecosystem &amp; Specifications)</w:t>
      </w:r>
    </w:p>
    <w:p w14:paraId="41C49D34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[12] Apple Inc. (2024). Accessory Design Guidelines for Apple Devices (Release R22). Apple Developer. Retrieved from https://developer.apple.com/accessories/Accessory-Design-Guidelines.pdf</w:t>
      </w:r>
    </w:p>
    <w:p w14:paraId="2ECF9AED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設計可行性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針對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MagSafe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磁吸配件與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N52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強磁陣列佈局提供官方規範，確保模組化架構的穩定性。</w:t>
      </w:r>
    </w:p>
    <w:p w14:paraId="6D773110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[13] Bluetooth Special Interest Group (SIG). (2023). Bluetooth Core Specification v5.3. Retrieved from https://www.bluetooth.com/specifications/specs/core-specification-5-3/</w:t>
      </w:r>
    </w:p>
    <w:p w14:paraId="10A23125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技術指標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規範低功耗數據傳輸標準，確保核心模組與手機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/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骨傳導耳機的高效連接。</w:t>
      </w:r>
    </w:p>
    <w:p w14:paraId="39441582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[14] MagnetsTek. (2025). The Ultimate Guide to N52 Neodymium Magnets: Maximum Energy Product and Residual Flux Density. Retrieved from https://magnetstek.com/the-ultimate-guide-to-n52-neodymium-magnets/</w:t>
      </w:r>
    </w:p>
    <w:p w14:paraId="03F9F77E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材料佐證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N52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釹鐵硼強磁物理數據，證明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35g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模組吸附於各種載具（鏡架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/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手機）的穩定性。</w:t>
      </w:r>
    </w:p>
    <w:p w14:paraId="27985964" w14:textId="77777777" w:rsidR="002A73E9" w:rsidRPr="002A73E9" w:rsidRDefault="00000000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pict w14:anchorId="3531B6E3">
          <v:rect id="_x0000_i1027" style="width:0;height:1.5pt" o:hralign="center" o:hrstd="t" o:hr="t" fillcolor="#a0a0a0" stroked="f"/>
        </w:pict>
      </w:r>
    </w:p>
    <w:p w14:paraId="1AAA292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4.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人機交互、骨傳導安全性與心理學依據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(HCI, Bone Conduction Safety &amp; Psychology)</w:t>
      </w:r>
    </w:p>
    <w:p w14:paraId="0CF945CA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[15] Chang-Geun, L., et al. (2011). Effectiveness of Advanced Bone Conduction Earphones for People Who Enjoy Outdoor Activities. ResearchGate. https://www.researchgate.net/publication/230727743_Effectiveness_of_Advanced_Bone_Conduction_Earphones_for_People_Who_Enjoy_Outdoor_Activities</w:t>
      </w:r>
    </w:p>
    <w:p w14:paraId="51F7059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安全限制解決方案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實證骨傳導技術能有效維持使用者的環境意識，降低交通安全隱患。</w:t>
      </w:r>
    </w:p>
    <w:p w14:paraId="0C9E35F8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[16] Green, M. (2000). How long does it take to stop? Methodological analysis of driver perception-brake times. Transportation Human Factors, 2(3), 195-216.</w:t>
      </w:r>
    </w:p>
    <w:p w14:paraId="2C8922D8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反應時間對比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提供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PRDA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時間模型，對比白手杖（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~1.25s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）應對快速交通流時的致命延遲。</w:t>
      </w:r>
    </w:p>
    <w:p w14:paraId="240A7157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[17] Loomis, J. M., Golledge, R. G., &amp; Klatzky, R. L. (2001). GPS-based navigation systems for the visually impaired. Fundamentals of Wearable Computers and Augmented Reality, 429–446.</w:t>
      </w:r>
    </w:p>
    <w:p w14:paraId="3FAAEB4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感知斷層分析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探討近處觸覺與遠處認知的斷層，支持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50-500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米遠距感知的必要性。</w:t>
      </w:r>
    </w:p>
    <w:p w14:paraId="1B10C00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[18] Toll, C., Panëels, S., &amp; Ward, N. (2018). A Usability and Safety Study of Bone-Conduction Headphones for Situational Awareness. ResearchGate. https://www.researchgate.net/publication/327937866_A_Usability_and_Safety_Study_of_Bone-Conduction_Headphones</w:t>
      </w:r>
    </w:p>
    <w:p w14:paraId="6CA2F5EC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安全佐證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證明骨傳導不遮蔽耳道，能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100%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保留環境感知，解決傳統耳機的安全隱患。</w:t>
      </w:r>
    </w:p>
    <w:p w14:paraId="42C15FD6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>
        <w:t>[19] Walker, B. N., &amp; Lindsay, J. (2006). Using Auditory Displays to Provide Navigation Information to Visually Impaired Users. Human Factors, 48(2), 335–348. https://doi.org/10.1518/001872006777724507</w:t>
      </w:r>
    </w:p>
    <w:p w14:paraId="0F866D63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[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預判時間核心論點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]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：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探討聽覺導航的認知負荷。支持將預判反應時間提升至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41.6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秒（提升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10 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>倍）能顯著降低心理壓力與事故率。</w:t>
      </w:r>
    </w:p>
    <w:p w14:paraId="6145BE3F" w14:textId="77777777" w:rsidR="00B274F1" w:rsidRPr="002A73E9" w:rsidRDefault="00B274F1" w:rsidP="002A73E9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>
      <w:r>
        <w:t>[20] Office of the Privacy Commissioner for Personal Data, Hong Kong. (n.d.). The Personal Data (Privacy) Ordinance (PDPO, Cap. 486) and Data Protection Principle 4 (DPP4). Retrieved from https://www.pcpd.org.hk/english/data_privacy_law/ordinance_at_a_Glance/ordinance.html</w:t>
      </w:r>
    </w:p>
    <w:p>
      <w:r>
        <w:t>[私隱合規]：醫療及個人影像資料屬高度敏感資料；DPP4 要求資料使用者採取一切切實可行的保安措施，防止未獲授權查閱、遺失或濫用。</w:t>
      </w:r>
    </w:p>
    <w:sectPr w:rsidR="00B274F1" w:rsidRPr="002A73E9" w:rsidSect="00B851DE">
      <w:footerReference w:type="default" r:id="rId24"/>
      <w:pgSz w:w="11906" w:h="16838" w:code="9"/>
      <w:pgMar w:top="1276" w:right="1416" w:bottom="567" w:left="1418" w:header="510" w:footer="2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CC89" w14:textId="77777777" w:rsidR="00F14ADC" w:rsidRDefault="00F14ADC">
      <w:r>
        <w:separator/>
      </w:r>
    </w:p>
  </w:endnote>
  <w:endnote w:type="continuationSeparator" w:id="0">
    <w:p w14:paraId="0976887F" w14:textId="77777777" w:rsidR="00F14ADC" w:rsidRDefault="00F14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York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__Inter_Fallback_d9825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736E" w14:textId="77777777" w:rsidR="00674CEF" w:rsidRDefault="00674CEF">
    <w:pPr>
      <w:pStyle w:val="a5"/>
      <w:jc w:val="center"/>
    </w:pPr>
  </w:p>
  <w:p w14:paraId="33ACFF5B" w14:textId="77777777" w:rsidR="00674CEF" w:rsidRDefault="00674CEF">
    <w:pPr>
      <w:pStyle w:val="a5"/>
      <w:jc w:val="center"/>
    </w:pPr>
    <w:r>
      <w:t>-</w:t>
    </w:r>
    <w:sdt>
      <w:sdtPr>
        <w:id w:val="1865085125"/>
        <w:docPartObj>
          <w:docPartGallery w:val="Page Numbers (Bottom of Page)"/>
          <w:docPartUnique/>
        </w:docPartObj>
      </w:sdtPr>
      <w:sdtContent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D606E6" w:rsidRPr="00D606E6">
          <w:rPr>
            <w:noProof/>
            <w:lang w:val="zh-TW" w:eastAsia="zh-TW"/>
          </w:rPr>
          <w:t>8</w:t>
        </w:r>
        <w:r>
          <w:fldChar w:fldCharType="end"/>
        </w:r>
        <w:r>
          <w:t xml:space="preserve"> -</w:t>
        </w:r>
      </w:sdtContent>
    </w:sdt>
  </w:p>
  <w:p w14:paraId="0ECD08F9" w14:textId="77777777" w:rsidR="00664B34" w:rsidRPr="00674CEF" w:rsidRDefault="00664B34" w:rsidP="00674C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D922" w14:textId="77777777" w:rsidR="00F14ADC" w:rsidRDefault="00F14ADC">
      <w:r>
        <w:separator/>
      </w:r>
    </w:p>
  </w:footnote>
  <w:footnote w:type="continuationSeparator" w:id="0">
    <w:p w14:paraId="24F9058C" w14:textId="77777777" w:rsidR="00F14ADC" w:rsidRDefault="00F14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95D"/>
    <w:multiLevelType w:val="hybridMultilevel"/>
    <w:tmpl w:val="BC628B60"/>
    <w:lvl w:ilvl="0" w:tplc="CA9A0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27886"/>
    <w:multiLevelType w:val="multilevel"/>
    <w:tmpl w:val="0FE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075207"/>
    <w:multiLevelType w:val="multilevel"/>
    <w:tmpl w:val="53A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76AD3"/>
    <w:multiLevelType w:val="hybridMultilevel"/>
    <w:tmpl w:val="B850879C"/>
    <w:lvl w:ilvl="0" w:tplc="CD6AD3B8">
      <w:start w:val="1"/>
      <w:numFmt w:val="bullet"/>
      <w:lvlText w:val=""/>
      <w:lvlJc w:val="left"/>
      <w:pPr>
        <w:tabs>
          <w:tab w:val="num" w:pos="171"/>
        </w:tabs>
        <w:ind w:left="171" w:hanging="171"/>
      </w:pPr>
      <w:rPr>
        <w:rFonts w:ascii="Symbol" w:hAnsi="Symbol" w:hint="default"/>
        <w:sz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327"/>
        </w:tabs>
        <w:ind w:left="13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047"/>
        </w:tabs>
        <w:ind w:left="20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767"/>
        </w:tabs>
        <w:ind w:left="27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487"/>
        </w:tabs>
        <w:ind w:left="34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207"/>
        </w:tabs>
        <w:ind w:left="42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927"/>
        </w:tabs>
        <w:ind w:left="49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647"/>
        </w:tabs>
        <w:ind w:left="56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367"/>
        </w:tabs>
        <w:ind w:left="6367" w:hanging="360"/>
      </w:pPr>
      <w:rPr>
        <w:rFonts w:ascii="Wingdings" w:hAnsi="Wingdings" w:hint="default"/>
      </w:rPr>
    </w:lvl>
  </w:abstractNum>
  <w:abstractNum w:abstractNumId="4" w15:restartNumberingAfterBreak="0">
    <w:nsid w:val="1AE31A24"/>
    <w:multiLevelType w:val="multilevel"/>
    <w:tmpl w:val="F4C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2A1D4D"/>
    <w:multiLevelType w:val="hybridMultilevel"/>
    <w:tmpl w:val="8A0A117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C49A8"/>
    <w:multiLevelType w:val="hybridMultilevel"/>
    <w:tmpl w:val="F8903624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032FB0"/>
    <w:multiLevelType w:val="hybridMultilevel"/>
    <w:tmpl w:val="D05E49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D3C3BE2"/>
    <w:multiLevelType w:val="multilevel"/>
    <w:tmpl w:val="2C5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4453B"/>
    <w:multiLevelType w:val="hybridMultilevel"/>
    <w:tmpl w:val="68CE448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F2102"/>
    <w:multiLevelType w:val="hybridMultilevel"/>
    <w:tmpl w:val="0C50A8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AA412BA"/>
    <w:multiLevelType w:val="multilevel"/>
    <w:tmpl w:val="236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B3697"/>
    <w:multiLevelType w:val="hybridMultilevel"/>
    <w:tmpl w:val="009474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9C04340"/>
    <w:multiLevelType w:val="hybridMultilevel"/>
    <w:tmpl w:val="A93287A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33FFA"/>
    <w:multiLevelType w:val="hybridMultilevel"/>
    <w:tmpl w:val="7B201EC8"/>
    <w:lvl w:ilvl="0" w:tplc="8C9EEA4A">
      <w:start w:val="1"/>
      <w:numFmt w:val="bullet"/>
      <w:pStyle w:val="StyledotpointsLeft0cmFirstline0cm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B232F"/>
    <w:multiLevelType w:val="multilevel"/>
    <w:tmpl w:val="E44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045AED"/>
    <w:multiLevelType w:val="hybridMultilevel"/>
    <w:tmpl w:val="DF60DEF0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676CF"/>
    <w:multiLevelType w:val="multilevel"/>
    <w:tmpl w:val="8C9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4E6A59"/>
    <w:multiLevelType w:val="multilevel"/>
    <w:tmpl w:val="28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E4BFC"/>
    <w:multiLevelType w:val="multilevel"/>
    <w:tmpl w:val="A93287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B4A6D"/>
    <w:multiLevelType w:val="hybridMultilevel"/>
    <w:tmpl w:val="85AEC52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85EB16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C4D81"/>
    <w:multiLevelType w:val="multilevel"/>
    <w:tmpl w:val="3AB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DD5393"/>
    <w:multiLevelType w:val="hybridMultilevel"/>
    <w:tmpl w:val="E1480974"/>
    <w:lvl w:ilvl="0" w:tplc="4C08429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2400A62"/>
    <w:multiLevelType w:val="hybridMultilevel"/>
    <w:tmpl w:val="EE34EA82"/>
    <w:lvl w:ilvl="0" w:tplc="C39CC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3615744"/>
    <w:multiLevelType w:val="multilevel"/>
    <w:tmpl w:val="1FC2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E2617"/>
    <w:multiLevelType w:val="multilevel"/>
    <w:tmpl w:val="A93287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F92105"/>
    <w:multiLevelType w:val="multilevel"/>
    <w:tmpl w:val="DBB2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0248EB"/>
    <w:multiLevelType w:val="hybridMultilevel"/>
    <w:tmpl w:val="484887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7D57DE6"/>
    <w:multiLevelType w:val="hybridMultilevel"/>
    <w:tmpl w:val="832A4CBA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828BB"/>
    <w:multiLevelType w:val="hybridMultilevel"/>
    <w:tmpl w:val="B6F2FEC0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2456847">
    <w:abstractNumId w:val="13"/>
  </w:num>
  <w:num w:numId="2" w16cid:durableId="445084050">
    <w:abstractNumId w:val="5"/>
  </w:num>
  <w:num w:numId="3" w16cid:durableId="1207256556">
    <w:abstractNumId w:val="29"/>
  </w:num>
  <w:num w:numId="4" w16cid:durableId="807089700">
    <w:abstractNumId w:val="20"/>
  </w:num>
  <w:num w:numId="5" w16cid:durableId="2052336116">
    <w:abstractNumId w:val="9"/>
  </w:num>
  <w:num w:numId="6" w16cid:durableId="1373966119">
    <w:abstractNumId w:val="3"/>
  </w:num>
  <w:num w:numId="7" w16cid:durableId="192303697">
    <w:abstractNumId w:val="0"/>
  </w:num>
  <w:num w:numId="8" w16cid:durableId="1177691552">
    <w:abstractNumId w:val="6"/>
  </w:num>
  <w:num w:numId="9" w16cid:durableId="1507666915">
    <w:abstractNumId w:val="25"/>
  </w:num>
  <w:num w:numId="10" w16cid:durableId="1580095465">
    <w:abstractNumId w:val="28"/>
  </w:num>
  <w:num w:numId="11" w16cid:durableId="1576890801">
    <w:abstractNumId w:val="19"/>
  </w:num>
  <w:num w:numId="12" w16cid:durableId="782922238">
    <w:abstractNumId w:val="16"/>
  </w:num>
  <w:num w:numId="13" w16cid:durableId="1325934394">
    <w:abstractNumId w:val="14"/>
  </w:num>
  <w:num w:numId="14" w16cid:durableId="844788267">
    <w:abstractNumId w:val="10"/>
  </w:num>
  <w:num w:numId="15" w16cid:durableId="1744570605">
    <w:abstractNumId w:val="22"/>
  </w:num>
  <w:num w:numId="16" w16cid:durableId="908730456">
    <w:abstractNumId w:val="23"/>
  </w:num>
  <w:num w:numId="17" w16cid:durableId="275870213">
    <w:abstractNumId w:val="12"/>
  </w:num>
  <w:num w:numId="18" w16cid:durableId="1832133404">
    <w:abstractNumId w:val="7"/>
  </w:num>
  <w:num w:numId="19" w16cid:durableId="199972271">
    <w:abstractNumId w:val="27"/>
  </w:num>
  <w:num w:numId="20" w16cid:durableId="789664530">
    <w:abstractNumId w:val="26"/>
  </w:num>
  <w:num w:numId="21" w16cid:durableId="1456438902">
    <w:abstractNumId w:val="1"/>
  </w:num>
  <w:num w:numId="22" w16cid:durableId="196823411">
    <w:abstractNumId w:val="4"/>
  </w:num>
  <w:num w:numId="23" w16cid:durableId="1767264409">
    <w:abstractNumId w:val="21"/>
  </w:num>
  <w:num w:numId="24" w16cid:durableId="865797848">
    <w:abstractNumId w:val="17"/>
  </w:num>
  <w:num w:numId="25" w16cid:durableId="1711568663">
    <w:abstractNumId w:val="15"/>
  </w:num>
  <w:num w:numId="26" w16cid:durableId="141771971">
    <w:abstractNumId w:val="2"/>
  </w:num>
  <w:num w:numId="27" w16cid:durableId="2031058390">
    <w:abstractNumId w:val="24"/>
  </w:num>
  <w:num w:numId="28" w16cid:durableId="167641284">
    <w:abstractNumId w:val="11"/>
  </w:num>
  <w:num w:numId="29" w16cid:durableId="457071419">
    <w:abstractNumId w:val="18"/>
  </w:num>
  <w:num w:numId="30" w16cid:durableId="2089230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D39"/>
    <w:rsid w:val="00001E5D"/>
    <w:rsid w:val="00005519"/>
    <w:rsid w:val="0004094E"/>
    <w:rsid w:val="00077467"/>
    <w:rsid w:val="000A1506"/>
    <w:rsid w:val="000B57B1"/>
    <w:rsid w:val="000D439F"/>
    <w:rsid w:val="000D668F"/>
    <w:rsid w:val="000E35AD"/>
    <w:rsid w:val="000F1522"/>
    <w:rsid w:val="000F3C9B"/>
    <w:rsid w:val="001126C4"/>
    <w:rsid w:val="00124D76"/>
    <w:rsid w:val="00130B08"/>
    <w:rsid w:val="001311EE"/>
    <w:rsid w:val="00134A2D"/>
    <w:rsid w:val="0013547B"/>
    <w:rsid w:val="00137694"/>
    <w:rsid w:val="0015209A"/>
    <w:rsid w:val="00156737"/>
    <w:rsid w:val="00187F04"/>
    <w:rsid w:val="001A2A25"/>
    <w:rsid w:val="001E2035"/>
    <w:rsid w:val="00227FF4"/>
    <w:rsid w:val="0029314D"/>
    <w:rsid w:val="002A73E9"/>
    <w:rsid w:val="002C72D8"/>
    <w:rsid w:val="002D08E4"/>
    <w:rsid w:val="003053F3"/>
    <w:rsid w:val="00305F98"/>
    <w:rsid w:val="003112AD"/>
    <w:rsid w:val="00312315"/>
    <w:rsid w:val="00393214"/>
    <w:rsid w:val="0039345C"/>
    <w:rsid w:val="003A7D39"/>
    <w:rsid w:val="003B5D64"/>
    <w:rsid w:val="003C1D2C"/>
    <w:rsid w:val="003E29C1"/>
    <w:rsid w:val="003F54A1"/>
    <w:rsid w:val="00402015"/>
    <w:rsid w:val="00406207"/>
    <w:rsid w:val="0040713B"/>
    <w:rsid w:val="004120B6"/>
    <w:rsid w:val="00421765"/>
    <w:rsid w:val="004264BC"/>
    <w:rsid w:val="0047332D"/>
    <w:rsid w:val="004805BB"/>
    <w:rsid w:val="004D718E"/>
    <w:rsid w:val="004F541C"/>
    <w:rsid w:val="00534524"/>
    <w:rsid w:val="005455B2"/>
    <w:rsid w:val="00552149"/>
    <w:rsid w:val="00556819"/>
    <w:rsid w:val="005858FD"/>
    <w:rsid w:val="005970F9"/>
    <w:rsid w:val="005B52DD"/>
    <w:rsid w:val="005C1459"/>
    <w:rsid w:val="005C2698"/>
    <w:rsid w:val="005F2140"/>
    <w:rsid w:val="00605A3B"/>
    <w:rsid w:val="00606217"/>
    <w:rsid w:val="006439AD"/>
    <w:rsid w:val="00644D05"/>
    <w:rsid w:val="00657B4A"/>
    <w:rsid w:val="00664B34"/>
    <w:rsid w:val="0066652D"/>
    <w:rsid w:val="00670662"/>
    <w:rsid w:val="006711F0"/>
    <w:rsid w:val="00674CEF"/>
    <w:rsid w:val="00692855"/>
    <w:rsid w:val="006946AA"/>
    <w:rsid w:val="006C583E"/>
    <w:rsid w:val="006E5F13"/>
    <w:rsid w:val="006F6295"/>
    <w:rsid w:val="007042EB"/>
    <w:rsid w:val="0071779A"/>
    <w:rsid w:val="00722190"/>
    <w:rsid w:val="00723BDF"/>
    <w:rsid w:val="00724D22"/>
    <w:rsid w:val="00737300"/>
    <w:rsid w:val="0074133A"/>
    <w:rsid w:val="007805AE"/>
    <w:rsid w:val="007B3D4A"/>
    <w:rsid w:val="007E1AD1"/>
    <w:rsid w:val="007E304A"/>
    <w:rsid w:val="007E39B8"/>
    <w:rsid w:val="0080083F"/>
    <w:rsid w:val="00825339"/>
    <w:rsid w:val="0083649C"/>
    <w:rsid w:val="00852BAA"/>
    <w:rsid w:val="008E0893"/>
    <w:rsid w:val="009149EF"/>
    <w:rsid w:val="00915832"/>
    <w:rsid w:val="00927911"/>
    <w:rsid w:val="0094056C"/>
    <w:rsid w:val="00941D5B"/>
    <w:rsid w:val="00941FEA"/>
    <w:rsid w:val="009532A6"/>
    <w:rsid w:val="00981A7D"/>
    <w:rsid w:val="009840E8"/>
    <w:rsid w:val="009A0A85"/>
    <w:rsid w:val="00A04468"/>
    <w:rsid w:val="00A24422"/>
    <w:rsid w:val="00A61215"/>
    <w:rsid w:val="00A7756A"/>
    <w:rsid w:val="00A90B12"/>
    <w:rsid w:val="00AB12F9"/>
    <w:rsid w:val="00B0382A"/>
    <w:rsid w:val="00B274F1"/>
    <w:rsid w:val="00B60350"/>
    <w:rsid w:val="00B836C7"/>
    <w:rsid w:val="00B851DE"/>
    <w:rsid w:val="00B94CD8"/>
    <w:rsid w:val="00BA327F"/>
    <w:rsid w:val="00BD6826"/>
    <w:rsid w:val="00C15740"/>
    <w:rsid w:val="00C465D4"/>
    <w:rsid w:val="00C5052F"/>
    <w:rsid w:val="00C7287F"/>
    <w:rsid w:val="00C834C7"/>
    <w:rsid w:val="00CA3031"/>
    <w:rsid w:val="00CB394A"/>
    <w:rsid w:val="00CC4CCA"/>
    <w:rsid w:val="00CE540F"/>
    <w:rsid w:val="00CF601E"/>
    <w:rsid w:val="00D06C26"/>
    <w:rsid w:val="00D41B90"/>
    <w:rsid w:val="00D4289C"/>
    <w:rsid w:val="00D46E0A"/>
    <w:rsid w:val="00D606E6"/>
    <w:rsid w:val="00D76CC1"/>
    <w:rsid w:val="00D87A19"/>
    <w:rsid w:val="00DB06E7"/>
    <w:rsid w:val="00DE0CFD"/>
    <w:rsid w:val="00E25A7F"/>
    <w:rsid w:val="00E41055"/>
    <w:rsid w:val="00E465FC"/>
    <w:rsid w:val="00E556F1"/>
    <w:rsid w:val="00E76EB3"/>
    <w:rsid w:val="00E8333D"/>
    <w:rsid w:val="00E93BDA"/>
    <w:rsid w:val="00EB601F"/>
    <w:rsid w:val="00ED4221"/>
    <w:rsid w:val="00ED78D9"/>
    <w:rsid w:val="00F14ADC"/>
    <w:rsid w:val="00F17A65"/>
    <w:rsid w:val="00F27AD0"/>
    <w:rsid w:val="00F363E8"/>
    <w:rsid w:val="00F45E60"/>
    <w:rsid w:val="00F67354"/>
    <w:rsid w:val="00F7773E"/>
    <w:rsid w:val="00F93B95"/>
    <w:rsid w:val="00FC0876"/>
    <w:rsid w:val="00FC0B35"/>
    <w:rsid w:val="00FD5CB8"/>
    <w:rsid w:val="00FE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2546E"/>
  <w15:docId w15:val="{DB35D394-808B-47B2-8FF8-218FC83C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773E"/>
    <w:rPr>
      <w:rFonts w:ascii="Verdana" w:hAnsi="Verdana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8">
    <w:name w:val="Table Grid 8"/>
    <w:basedOn w:val="a1"/>
    <w:rsid w:val="004264B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3">
    <w:name w:val="header"/>
    <w:basedOn w:val="a"/>
    <w:link w:val="a4"/>
    <w:uiPriority w:val="99"/>
    <w:rsid w:val="00F7773E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F7773E"/>
    <w:pPr>
      <w:tabs>
        <w:tab w:val="center" w:pos="4153"/>
        <w:tab w:val="right" w:pos="8306"/>
      </w:tabs>
    </w:pPr>
  </w:style>
  <w:style w:type="paragraph" w:styleId="a7">
    <w:name w:val="caption"/>
    <w:basedOn w:val="a"/>
    <w:next w:val="a"/>
    <w:qFormat/>
    <w:rsid w:val="00F7773E"/>
    <w:pPr>
      <w:jc w:val="center"/>
    </w:pPr>
    <w:rPr>
      <w:rFonts w:ascii="Times New Roman" w:hAnsi="Times New Roman"/>
      <w:sz w:val="32"/>
      <w:szCs w:val="20"/>
      <w:lang w:val="en-US" w:eastAsia="en-US"/>
    </w:rPr>
  </w:style>
  <w:style w:type="paragraph" w:customStyle="1" w:styleId="tx9000">
    <w:name w:val="tx9000"/>
    <w:rsid w:val="0071779A"/>
    <w:pPr>
      <w:widowControl w:val="0"/>
      <w:tabs>
        <w:tab w:val="left" w:pos="560"/>
        <w:tab w:val="left" w:pos="6400"/>
      </w:tabs>
      <w:jc w:val="both"/>
    </w:pPr>
    <w:rPr>
      <w:rFonts w:ascii="NewYork" w:hAnsi="NewYork"/>
      <w:snapToGrid w:val="0"/>
      <w:sz w:val="24"/>
      <w:lang w:eastAsia="en-US"/>
    </w:rPr>
  </w:style>
  <w:style w:type="table" w:styleId="a8">
    <w:name w:val="Table Grid"/>
    <w:basedOn w:val="a1"/>
    <w:rsid w:val="00717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dotpointsLeft0cmFirstline0cm">
    <w:name w:val="Style dot points + Left:  0 cm First line:  0 cm"/>
    <w:basedOn w:val="a"/>
    <w:rsid w:val="002D08E4"/>
    <w:pPr>
      <w:numPr>
        <w:numId w:val="13"/>
      </w:numPr>
    </w:pPr>
  </w:style>
  <w:style w:type="paragraph" w:styleId="a9">
    <w:name w:val="Balloon Text"/>
    <w:basedOn w:val="a"/>
    <w:link w:val="aa"/>
    <w:rsid w:val="003A7D3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rsid w:val="003A7D39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3F54A1"/>
    <w:pPr>
      <w:ind w:leftChars="200" w:left="480"/>
    </w:pPr>
  </w:style>
  <w:style w:type="character" w:customStyle="1" w:styleId="a4">
    <w:name w:val="頁首 字元"/>
    <w:basedOn w:val="a0"/>
    <w:link w:val="a3"/>
    <w:uiPriority w:val="99"/>
    <w:rsid w:val="00670662"/>
    <w:rPr>
      <w:rFonts w:ascii="Verdana" w:hAnsi="Verdana"/>
      <w:szCs w:val="24"/>
    </w:rPr>
  </w:style>
  <w:style w:type="character" w:customStyle="1" w:styleId="a6">
    <w:name w:val="頁尾 字元"/>
    <w:basedOn w:val="a0"/>
    <w:link w:val="a5"/>
    <w:uiPriority w:val="99"/>
    <w:rsid w:val="00674CEF"/>
    <w:rPr>
      <w:rFonts w:ascii="Verdana" w:hAnsi="Verdana"/>
      <w:szCs w:val="24"/>
    </w:rPr>
  </w:style>
  <w:style w:type="paragraph" w:styleId="Web">
    <w:name w:val="Normal (Web)"/>
    <w:basedOn w:val="a"/>
    <w:uiPriority w:val="99"/>
    <w:semiHidden/>
    <w:unhideWhenUsed/>
    <w:rsid w:val="00187F04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US" w:eastAsia="zh-CN"/>
    </w:rPr>
  </w:style>
  <w:style w:type="character" w:styleId="ac">
    <w:name w:val="Hyperlink"/>
    <w:basedOn w:val="a0"/>
    <w:unhideWhenUsed/>
    <w:rsid w:val="00692855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2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8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4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1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0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2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ho.int/publications/i/item/9789241516570" TargetMode="External"/><Relationship Id="rId18" Type="http://schemas.openxmlformats.org/officeDocument/2006/relationships/hyperlink" Target="https://developer.apple.com/accessories/Accessory-Design-Guidelines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researchgate.net/publication/230727743_Effectiveness_of_Advanced_Bone_Conduction_Earphones_for_People_Who_Enjoy_Outdoor_Activitie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td.gov.hk/tc/publications_and_press_releases/publications/free_publications/index.html" TargetMode="External"/><Relationship Id="rId17" Type="http://schemas.openxmlformats.org/officeDocument/2006/relationships/hyperlink" Target="https://en.wikipedia.org/wiki/Apochroma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html/2603.23640v1" TargetMode="External"/><Relationship Id="rId20" Type="http://schemas.openxmlformats.org/officeDocument/2006/relationships/hyperlink" Target="https://magnetstek.com/the-ultimate-guide-to-n52-neodymium-magnet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ensus2021.gov.hk/doc/pub/21c-summary-results.pdf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leica-camera.com/en-int/photography/understanding-leica-lenses" TargetMode="External"/><Relationship Id="rId23" Type="http://schemas.openxmlformats.org/officeDocument/2006/relationships/hyperlink" Target="https://doi.org/10.1518/001872006777724507" TargetMode="External"/><Relationship Id="rId10" Type="http://schemas.openxmlformats.org/officeDocument/2006/relationships/hyperlink" Target="https://www.censtatd.gov.hk/tc/EIndexbySubject.html?scode=453&amp;pcode=B1130121" TargetMode="External"/><Relationship Id="rId19" Type="http://schemas.openxmlformats.org/officeDocument/2006/relationships/hyperlink" Target="https://www.bluetooth.com/specifications/specs/core-specification-5-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martcity.gov.hk/modules/custom/custom_global_js_css/assets/files/HKSmartCityBlueprint(ENG)v2.pdf" TargetMode="External"/><Relationship Id="rId14" Type="http://schemas.openxmlformats.org/officeDocument/2006/relationships/hyperlink" Target="https://www.docsumo.com/blogs/ocr/accuracy" TargetMode="External"/><Relationship Id="rId22" Type="http://schemas.openxmlformats.org/officeDocument/2006/relationships/hyperlink" Target="https://www.researchgate.net/publication/327937866_A_Usability_and_Safety_Study_of_Bone-Conduction_Headphon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HP\My%20Documents\Google%20&#38642;&#31471;&#30828;&#30879;\Innovation%20&amp;%20Change\Change%20Management%20Plan-Template\Change%20Management%20Plan%20Template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Change Management Plan Template 2</Template>
  <TotalTime>218</TotalTime>
  <Pages>11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Management Plan</vt:lpstr>
    </vt:vector>
  </TitlesOfParts>
  <Company>Southern Cross University</Company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Plan</dc:title>
  <dc:creator>HP</dc:creator>
  <cp:lastModifiedBy>CHEUNG Wing Man Queenie (240060261)</cp:lastModifiedBy>
  <cp:revision>32</cp:revision>
  <cp:lastPrinted>2009-04-05T22:36:00Z</cp:lastPrinted>
  <dcterms:created xsi:type="dcterms:W3CDTF">2017-09-01T02:36:00Z</dcterms:created>
  <dcterms:modified xsi:type="dcterms:W3CDTF">2026-04-23T07:13:00Z</dcterms:modified>
</cp:coreProperties>
</file>