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8E539">
      <w:pPr>
        <w:spacing w:before="3000"/>
      </w:pPr>
    </w:p>
    <w:p w14:paraId="46CCDE52">
      <w:pPr>
        <w:spacing w:before="1600" w:after="2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48"/>
          <w:szCs w:val="48"/>
        </w:rPr>
        <w:t>智能客服测试平台</w:t>
      </w:r>
    </w:p>
    <w:p w14:paraId="4344C4B2">
      <w:pPr>
        <w:spacing w:before="100" w:after="100"/>
        <w:jc w:val="center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操作说明文档</w:t>
      </w:r>
    </w:p>
    <w:p w14:paraId="59C4BAFA">
      <w:pPr>
        <w:spacing w:before="600" w:after="100"/>
        <w:jc w:val="center"/>
      </w:pPr>
      <w:r>
        <w:rPr>
          <w:rFonts w:ascii="微软雅黑" w:hAnsi="微软雅黑" w:eastAsia="微软雅黑" w:cs="微软雅黑"/>
          <w:color w:val="555555"/>
          <w:sz w:val="22"/>
          <w:szCs w:val="22"/>
        </w:rPr>
        <w:t>版本 V3.0  |  2026年6月</w:t>
      </w:r>
    </w:p>
    <w:p w14:paraId="1862C5F4">
      <w:r>
        <w:br w:type="page"/>
      </w:r>
    </w:p>
    <w:p w14:paraId="6BDC98ED">
      <w:pPr>
        <w:pStyle w:val="2"/>
        <w:spacing w:before="240" w:after="120"/>
      </w:pPr>
      <w:bookmarkStart w:id="0" w:name="_GoBack"/>
      <w:bookmarkEnd w:id="0"/>
      <w:r>
        <w:rPr>
          <w:rFonts w:ascii="微软雅黑" w:hAnsi="微软雅黑" w:eastAsia="微软雅黑" w:cs="微软雅黑"/>
          <w:b/>
          <w:bCs/>
          <w:color w:val="1F4E79"/>
          <w:sz w:val="28"/>
          <w:szCs w:val="28"/>
        </w:rPr>
        <w:t>第1章 登录与首页概览</w:t>
      </w:r>
    </w:p>
    <w:p w14:paraId="7B78929D">
      <w:pPr>
        <w:pStyle w:val="3"/>
        <w:spacing w:before="160" w:after="8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1.1 系统登录</w:t>
      </w:r>
    </w:p>
    <w:p w14:paraId="3C9988B9">
      <w:pPr>
        <w:spacing w:before="40" w:after="4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打开浏览器，访问系统地址，进入 SSO 登录页面。使用钉钉扫描二维码完成身份认证，扫码成功后系统自动跳转到首页，右上角显示当前登录用户名称。</w:t>
      </w:r>
    </w:p>
    <w:p w14:paraId="7D28118F">
      <w:pPr>
        <w:spacing w:before="80" w:after="100"/>
        <w:jc w:val="center"/>
      </w:pPr>
      <w:r>
        <w:drawing>
          <wp:inline distT="0" distB="0" distL="0" distR="0">
            <wp:extent cx="4572000" cy="2667000"/>
            <wp:effectExtent l="0" t="0" r="0" b="0"/>
            <wp:docPr id="1" name="01-sso-login.png" descr="图1-1 SSO登录页面" title="图1-1 SSO登录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-sso-login.png" descr="图1-1 SSO登录页面" title="图1-1 SSO登录页面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图1-1 SSO登录页面</w:t>
      </w:r>
    </w:p>
    <w:p w14:paraId="7B5751C7">
      <w:pPr>
        <w:pStyle w:val="3"/>
        <w:spacing w:before="160" w:after="8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1.2 首页概览</w:t>
      </w:r>
    </w:p>
    <w:p w14:paraId="1BFFB909">
      <w:pPr>
        <w:spacing w:before="40" w:after="4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登录后进入文稿管理首页，左侧为功能导航菜单，右侧为文稿列表。</w:t>
      </w:r>
    </w:p>
    <w:p w14:paraId="000D4FB0">
      <w:pPr>
        <w:spacing w:before="40" w:after="4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导航菜单包含以下功能模块：</w:t>
      </w:r>
    </w:p>
    <w:p w14:paraId="65848AB4">
      <w:pPr>
        <w:spacing w:before="20" w:after="20" w:line="320" w:lineRule="auto"/>
        <w:ind w:left="420" w:hanging="210"/>
      </w:pPr>
      <w:r>
        <w:rPr>
          <w:rFonts w:ascii="微软雅黑" w:hAnsi="微软雅黑" w:eastAsia="微软雅黑" w:cs="微软雅黑"/>
          <w:sz w:val="21"/>
          <w:szCs w:val="21"/>
        </w:rPr>
        <w:t>• 文稿管理 — 上传和管理交底稿文档</w:t>
      </w:r>
    </w:p>
    <w:p w14:paraId="7CCB6608">
      <w:pPr>
        <w:spacing w:before="20" w:after="20" w:line="320" w:lineRule="auto"/>
        <w:ind w:left="420" w:hanging="210"/>
      </w:pPr>
      <w:r>
        <w:rPr>
          <w:rFonts w:ascii="微软雅黑" w:hAnsi="微软雅黑" w:eastAsia="微软雅黑" w:cs="微软雅黑"/>
          <w:sz w:val="21"/>
          <w:szCs w:val="21"/>
        </w:rPr>
        <w:t>• 测试用例 — 查看、审核和管理AI生成的测试用例</w:t>
      </w:r>
    </w:p>
    <w:p w14:paraId="34868DC6">
      <w:pPr>
        <w:spacing w:before="20" w:after="20" w:line="320" w:lineRule="auto"/>
        <w:ind w:left="420" w:hanging="210"/>
      </w:pPr>
      <w:r>
        <w:rPr>
          <w:rFonts w:ascii="微软雅黑" w:hAnsi="微软雅黑" w:eastAsia="微软雅黑" w:cs="微软雅黑"/>
          <w:sz w:val="21"/>
          <w:szCs w:val="21"/>
        </w:rPr>
        <w:t>• 数据集 — 组建用例数据集，用于执行计划</w:t>
      </w:r>
    </w:p>
    <w:p w14:paraId="2D6F2D13">
      <w:pPr>
        <w:spacing w:before="20" w:after="20" w:line="320" w:lineRule="auto"/>
        <w:ind w:left="420" w:hanging="210"/>
      </w:pPr>
      <w:r>
        <w:rPr>
          <w:rFonts w:ascii="微软雅黑" w:hAnsi="微软雅黑" w:eastAsia="微软雅黑" w:cs="微软雅黑"/>
          <w:sz w:val="21"/>
          <w:szCs w:val="21"/>
        </w:rPr>
        <w:t>• 执行计划 — 创建执行计划并启动自动测试</w:t>
      </w:r>
    </w:p>
    <w:p w14:paraId="734B57A3">
      <w:pPr>
        <w:spacing w:before="20" w:after="20" w:line="320" w:lineRule="auto"/>
        <w:ind w:left="420" w:hanging="210"/>
      </w:pPr>
      <w:r>
        <w:rPr>
          <w:rFonts w:ascii="微软雅黑" w:hAnsi="微软雅黑" w:eastAsia="微软雅黑" w:cs="微软雅黑"/>
          <w:sz w:val="21"/>
          <w:szCs w:val="21"/>
        </w:rPr>
        <w:t>• 操作记录 / 用户授权 / 系统配置 — 管理员功能</w:t>
      </w:r>
    </w:p>
    <w:p w14:paraId="154299DD">
      <w:pPr>
        <w:spacing w:before="80" w:after="100"/>
        <w:jc w:val="center"/>
      </w:pPr>
      <w:r>
        <w:drawing>
          <wp:inline distT="0" distB="0" distL="0" distR="0">
            <wp:extent cx="4572000" cy="2667000"/>
            <wp:effectExtent l="0" t="0" r="0" b="0"/>
            <wp:docPr id="2" name="02-homepage-overview.png" descr="图1-2 首页概览" title="图1-2 首页概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-homepage-overview.png" descr="图1-2 首页概览" title="图1-2 首页概览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图1-2 首页概览</w:t>
      </w:r>
    </w:p>
    <w:p w14:paraId="2C64B465">
      <w:pPr>
        <w:pStyle w:val="2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8"/>
          <w:szCs w:val="28"/>
        </w:rPr>
        <w:t>第2章 交底稿上传与解析</w:t>
      </w:r>
    </w:p>
    <w:p w14:paraId="0DE20389">
      <w:pPr>
        <w:pStyle w:val="3"/>
        <w:spacing w:before="160" w:after="8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2.1 上传文档</w:t>
      </w:r>
    </w:p>
    <w:p w14:paraId="6E39BFAA">
      <w:pPr>
        <w:spacing w:before="40" w:after="4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在文稿管理页面点击"上传文档"按钮，弹出上传对话框，选择 PDF/Word 等格式的交底稿文件上传。</w:t>
      </w:r>
    </w:p>
    <w:p w14:paraId="01A9F3DA">
      <w:pPr>
        <w:spacing w:before="80" w:after="100"/>
        <w:jc w:val="center"/>
      </w:pPr>
      <w:r>
        <w:drawing>
          <wp:inline distT="0" distB="0" distL="0" distR="0">
            <wp:extent cx="4572000" cy="2667000"/>
            <wp:effectExtent l="0" t="0" r="0" b="0"/>
            <wp:docPr id="3" name="01-1文稿管理-上传文件.png" descr="图2-1 上传交底稿" title="图2-1 上传交底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1-1文稿管理-上传文件.png" descr="图2-1 上传交底稿" title="图2-1 上传交底稿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图2-1 上传交底稿</w:t>
      </w:r>
    </w:p>
    <w:p w14:paraId="3512B502">
      <w:pPr>
        <w:pStyle w:val="3"/>
        <w:spacing w:before="160" w:after="8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2.2 文档解析与用例生成</w:t>
      </w:r>
    </w:p>
    <w:p w14:paraId="12AF0228">
      <w:pPr>
        <w:spacing w:before="40" w:after="4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文档上传后系统自动解析，提取交底稿中的关键业务信息。解析完成后可点击"继续生成"或"重新生成"按钮触发 AI 自动生成测试用例。</w:t>
      </w:r>
    </w:p>
    <w:p w14:paraId="43B765AA">
      <w:pPr>
        <w:spacing w:before="80" w:after="100"/>
        <w:jc w:val="center"/>
      </w:pPr>
      <w:r>
        <w:drawing>
          <wp:inline distT="0" distB="0" distL="0" distR="0">
            <wp:extent cx="4572000" cy="2667000"/>
            <wp:effectExtent l="0" t="0" r="0" b="0"/>
            <wp:docPr id="4" name="01-2文稿管理-解析用例.png" descr="图2-2 解析与用例生成" title="图2-2 解析与用例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1-2文稿管理-解析用例.png" descr="图2-2 解析与用例生成" title="图2-2 解析与用例生成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图2-2 解析与用例生成</w:t>
      </w:r>
    </w:p>
    <w:p w14:paraId="66301175">
      <w:pPr>
        <w:pStyle w:val="2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8"/>
          <w:szCs w:val="28"/>
        </w:rPr>
        <w:t>第3章 AI生成测试用例</w:t>
      </w:r>
    </w:p>
    <w:p w14:paraId="21D293FE">
      <w:pPr>
        <w:pStyle w:val="3"/>
        <w:spacing w:before="160" w:after="8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3.1 查看文档详情</w:t>
      </w:r>
    </w:p>
    <w:p w14:paraId="180E4BC0">
      <w:pPr>
        <w:spacing w:before="40" w:after="4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在文稿管理列表页点击文档行进入详情页。详情页展示文档基本信息（标题、文件名、类型、状态）以及解析出的各个 section 内容。</w:t>
      </w:r>
    </w:p>
    <w:p w14:paraId="5B68B9FD">
      <w:pPr>
        <w:spacing w:before="80" w:after="100"/>
        <w:jc w:val="center"/>
      </w:pPr>
      <w:r>
        <w:drawing>
          <wp:inline distT="0" distB="0" distL="0" distR="0">
            <wp:extent cx="4572000" cy="2667000"/>
            <wp:effectExtent l="0" t="0" r="0" b="0"/>
            <wp:docPr id="5" name="03-document-detail.png" descr="图3-1 文档详情页" title="图3-1 文档详情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3-document-detail.png" descr="图3-1 文档详情页" title="图3-1 文档详情页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图3-1 文档详情页</w:t>
      </w:r>
    </w:p>
    <w:p w14:paraId="1FD647B4">
      <w:pPr>
        <w:pStyle w:val="3"/>
        <w:spacing w:before="160" w:after="8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3.2 触发AI生成</w:t>
      </w:r>
    </w:p>
    <w:p w14:paraId="7F2F68DF">
      <w:pPr>
        <w:spacing w:before="40" w:after="4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点击"继续生成"按钮弹出 AI 生成进度弹窗，通过 SSE 实时推送进度条和已生成用例数量。如需重新生成，点击"重新生成"按钮，系统会先确认清除范围。</w:t>
      </w:r>
    </w:p>
    <w:p w14:paraId="5EE4E46E">
      <w:pPr>
        <w:spacing w:before="80" w:after="100"/>
        <w:jc w:val="center"/>
      </w:pPr>
      <w:r>
        <w:drawing>
          <wp:inline distT="0" distB="0" distL="0" distR="0">
            <wp:extent cx="3810000" cy="2381250"/>
            <wp:effectExtent l="0" t="0" r="0" b="0"/>
            <wp:docPr id="6" name="03-1regenerate-confirm.png" descr="图3-2 重新生成确认弹窗" title="图3-2 重新生成确认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3-1regenerate-confirm.png" descr="图3-2 重新生成确认弹窗" title="图3-2 重新生成确认弹窗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图3-2 重新生成确认弹窗</w:t>
      </w:r>
    </w:p>
    <w:p w14:paraId="5B8C3017">
      <w:pPr>
        <w:spacing w:before="80" w:after="100"/>
        <w:jc w:val="center"/>
      </w:pPr>
      <w:r>
        <w:drawing>
          <wp:inline distT="0" distB="0" distL="0" distR="0">
            <wp:extent cx="3810000" cy="2381250"/>
            <wp:effectExtent l="0" t="0" r="0" b="0"/>
            <wp:docPr id="7" name="03-ai-generate-progress.png" descr="图3-3 AI生成进度弹窗" title="图3-3 AI生成进度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3-ai-generate-progress.png" descr="图3-3 AI生成进度弹窗" title="图3-3 AI生成进度弹窗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图3-3 AI生成进度弹窗</w:t>
      </w:r>
    </w:p>
    <w:p w14:paraId="752E81A9">
      <w:pPr>
        <w:pStyle w:val="3"/>
        <w:spacing w:before="160" w:after="8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3.3 LLM调用统计</w:t>
      </w:r>
    </w:p>
    <w:p w14:paraId="24A1AE7E">
      <w:pPr>
        <w:spacing w:before="40" w:after="4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文档详情页底部展示 LLM 调用统计面板（可展开），查看每次调用的模型、输入/输出 tokens、耗时等详细信息。</w:t>
      </w:r>
    </w:p>
    <w:p w14:paraId="45EB2A6A">
      <w:pPr>
        <w:spacing w:before="80" w:after="100"/>
        <w:jc w:val="center"/>
      </w:pPr>
      <w:r>
        <w:drawing>
          <wp:inline distT="0" distB="0" distL="0" distR="0">
            <wp:extent cx="4572000" cy="2286000"/>
            <wp:effectExtent l="0" t="0" r="0" b="0"/>
            <wp:docPr id="8" name="07-2llm-stats.png" descr="图3-4 LLM调用统计面板" title="图3-4 LLM调用统计面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7-2llm-stats.png" descr="图3-4 LLM调用统计面板" title="图3-4 LLM调用统计面板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图3-4 LLM调用统计面板</w:t>
      </w:r>
    </w:p>
    <w:p w14:paraId="511DCBE0">
      <w:pPr>
        <w:pStyle w:val="2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8"/>
          <w:szCs w:val="28"/>
        </w:rPr>
        <w:t>第4章 测试用例管理与审核</w:t>
      </w:r>
    </w:p>
    <w:p w14:paraId="34E71C8E">
      <w:pPr>
        <w:pStyle w:val="3"/>
        <w:spacing w:before="160" w:after="8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4.1 测试用例列表</w:t>
      </w:r>
    </w:p>
    <w:p w14:paraId="5CFE3E28">
      <w:pPr>
        <w:spacing w:before="40" w:after="4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在左侧导航点击"测试用例"，进入用例列表页。列表展示 ID、问题、期望回答要点、数据来源、状态、创建时间等。</w:t>
      </w:r>
    </w:p>
    <w:p w14:paraId="1F332E65">
      <w:pPr>
        <w:spacing w:before="40" w:after="4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页面支持：关键词搜索、状态筛选、交底稿筛选、批量审核（勾选多条后点击批量审核按钮）。</w:t>
      </w:r>
    </w:p>
    <w:p w14:paraId="5DD7095D">
      <w:pPr>
        <w:spacing w:before="80" w:after="100"/>
        <w:jc w:val="center"/>
      </w:pPr>
      <w:r>
        <w:drawing>
          <wp:inline distT="0" distB="0" distL="0" distR="0">
            <wp:extent cx="4572000" cy="2667000"/>
            <wp:effectExtent l="0" t="0" r="0" b="0"/>
            <wp:docPr id="9" name="04-test-case-list.png" descr="图4-1 测试用例列表页" title="图4-1 测试用例列表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4-test-case-list.png" descr="图4-1 测试用例列表页" title="图4-1 测试用例列表页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图4-1 测试用例列表页</w:t>
      </w:r>
    </w:p>
    <w:p w14:paraId="2FD7ED1C">
      <w:pPr>
        <w:pStyle w:val="3"/>
        <w:spacing w:before="160" w:after="8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4.2 用例详情查看</w:t>
      </w:r>
    </w:p>
    <w:p w14:paraId="76A72543">
      <w:pPr>
        <w:spacing w:before="40" w:after="4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点击用例行的"查看"按钮打开详情抽屉，展示用例完整信息：问题、期望回答要点、来源文档内容、参考依据等。</w:t>
      </w:r>
    </w:p>
    <w:p w14:paraId="2CC67F35">
      <w:pPr>
        <w:spacing w:before="80" w:after="100"/>
        <w:jc w:val="center"/>
      </w:pPr>
      <w:r>
        <w:drawing>
          <wp:inline distT="0" distB="0" distL="0" distR="0">
            <wp:extent cx="3810000" cy="2667000"/>
            <wp:effectExtent l="0" t="0" r="0" b="0"/>
            <wp:docPr id="10" name="04-2test-case-detail.png" descr="图4-2 测试用例详情抽屉" title="图4-2 测试用例详情抽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4-2test-case-detail.png" descr="图4-2 测试用例详情抽屉" title="图4-2 测试用例详情抽屉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图4-2 测试用例详情抽屉</w:t>
      </w:r>
    </w:p>
    <w:p w14:paraId="0763CB5F">
      <w:pPr>
        <w:pStyle w:val="2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8"/>
          <w:szCs w:val="28"/>
        </w:rPr>
        <w:t>第5章 数据集管理</w:t>
      </w:r>
    </w:p>
    <w:p w14:paraId="20253986">
      <w:pPr>
        <w:pStyle w:val="3"/>
        <w:spacing w:before="160" w:after="8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5.1 数据集列表</w:t>
      </w:r>
    </w:p>
    <w:p w14:paraId="471A3550">
      <w:pPr>
        <w:spacing w:before="40" w:after="4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数据集是测试用例的集合，用于组织要执行的用例。点击"创建数据集"可新建数据集并选择关联的用例。列表展示名称、用例数、执行次数、状态等。</w:t>
      </w:r>
    </w:p>
    <w:p w14:paraId="67F7F935">
      <w:pPr>
        <w:spacing w:before="80" w:after="100"/>
        <w:jc w:val="center"/>
      </w:pPr>
      <w:r>
        <w:drawing>
          <wp:inline distT="0" distB="0" distL="0" distR="0">
            <wp:extent cx="4572000" cy="2381250"/>
            <wp:effectExtent l="0" t="0" r="0" b="0"/>
            <wp:docPr id="11" name="05-dataset-list.png" descr="图5-1 数据集列表页" title="图5-1 数据集列表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05-dataset-list.png" descr="图5-1 数据集列表页" title="图5-1 数据集列表页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图5-1 数据集列表页</w:t>
      </w:r>
    </w:p>
    <w:p w14:paraId="2C0782F5">
      <w:pPr>
        <w:pStyle w:val="3"/>
        <w:spacing w:before="160" w:after="8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5.2 数据集详情</w:t>
      </w:r>
    </w:p>
    <w:p w14:paraId="1771F376">
      <w:pPr>
        <w:spacing w:before="40" w:after="4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点击"详情"按钮进入详情页，展示用例总数、执行次数、数据来源分布进度条、关联用例列表。</w:t>
      </w:r>
    </w:p>
    <w:p w14:paraId="720A1CD2">
      <w:pPr>
        <w:spacing w:before="80" w:after="100"/>
        <w:jc w:val="center"/>
      </w:pPr>
      <w:r>
        <w:drawing>
          <wp:inline distT="0" distB="0" distL="0" distR="0">
            <wp:extent cx="4572000" cy="2667000"/>
            <wp:effectExtent l="0" t="0" r="0" b="0"/>
            <wp:docPr id="12" name="05-2dataset-detail.png" descr="图5-2 数据集详情页" title="图5-2 数据集详情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05-2dataset-detail.png" descr="图5-2 数据集详情页" title="图5-2 数据集详情页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图5-2 数据集详情页</w:t>
      </w:r>
    </w:p>
    <w:p w14:paraId="1F64EA97">
      <w:pPr>
        <w:pStyle w:val="2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8"/>
          <w:szCs w:val="28"/>
        </w:rPr>
        <w:t>第6章 创建与执行计划</w:t>
      </w:r>
    </w:p>
    <w:p w14:paraId="54BA9E67">
      <w:pPr>
        <w:pStyle w:val="3"/>
        <w:spacing w:before="160" w:after="8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6.1 创建执行计划</w:t>
      </w:r>
    </w:p>
    <w:p w14:paraId="3EF3724B">
      <w:pPr>
        <w:spacing w:before="40" w:after="4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在执行计划页面点击"创建计划"按钮，弹出创建对话框。填写计划名称、选择目标系统，可选择"测试用例"或"数据集"作为执行对象，勾选 2-3 条用例后提交创建。</w:t>
      </w:r>
    </w:p>
    <w:p w14:paraId="2E2340B5">
      <w:pPr>
        <w:spacing w:before="40" w:after="4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建议每次执行计划包含 2-3 条用例，便于观察结果。</w:t>
      </w:r>
    </w:p>
    <w:p w14:paraId="6DCB75FF">
      <w:pPr>
        <w:spacing w:before="80" w:after="100"/>
        <w:jc w:val="center"/>
      </w:pPr>
      <w:r>
        <w:drawing>
          <wp:inline distT="0" distB="0" distL="0" distR="0">
            <wp:extent cx="4572000" cy="3048000"/>
            <wp:effectExtent l="0" t="0" r="0" b="0"/>
            <wp:docPr id="13" name="06-1create-plan.png" descr="图6-1 创建执行计划弹窗" title="图6-1 创建执行计划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06-1create-plan.png" descr="图6-1 创建执行计划弹窗" title="图6-1 创建执行计划弹窗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图6-1 创建执行计划弹窗</w:t>
      </w:r>
    </w:p>
    <w:p w14:paraId="7E87177B">
      <w:pPr>
        <w:pStyle w:val="3"/>
        <w:spacing w:before="160" w:after="8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6.2 执行计划列表</w:t>
      </w:r>
    </w:p>
    <w:p w14:paraId="2474647C">
      <w:pPr>
        <w:spacing w:before="40" w:after="4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页面顶部展示统计概览：总计划数、执行中数量、已完成数量、平均分数。列表展示每个计划的名称、执行对象、目标系统、状态、进度、均分等。</w:t>
      </w:r>
    </w:p>
    <w:p w14:paraId="651BB6AF">
      <w:pPr>
        <w:spacing w:before="80" w:after="100"/>
        <w:jc w:val="center"/>
      </w:pPr>
      <w:r>
        <w:drawing>
          <wp:inline distT="0" distB="0" distL="0" distR="0">
            <wp:extent cx="4572000" cy="2667000"/>
            <wp:effectExtent l="0" t="0" r="0" b="0"/>
            <wp:docPr id="14" name="06-2plan-list.png" descr="图6-2 执行计划列表页" title="图6-2 执行计划列表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06-2plan-list.png" descr="图6-2 执行计划列表页" title="图6-2 执行计划列表页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图6-2 执行计划列表页</w:t>
      </w:r>
    </w:p>
    <w:p w14:paraId="073A70F6">
      <w:pPr>
        <w:pStyle w:val="3"/>
        <w:spacing w:before="160" w:after="8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6.3 执行计划详情</w:t>
      </w:r>
    </w:p>
    <w:p w14:paraId="373725E8">
      <w:pPr>
        <w:spacing w:before="40" w:after="4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点击计划的"详情"按钮进入详情页。页面展示计划基本信息、完成进度条、综合均分、通过率、LLM调用统计，以及每条用例的执行结果列表（包含响应时间、综合分、是否通过）。</w:t>
      </w:r>
    </w:p>
    <w:p w14:paraId="758A5CE2">
      <w:pPr>
        <w:spacing w:before="40" w:after="4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执行过程中，SSE 实时推送进度更新，页面自动刷新状态。</w:t>
      </w:r>
    </w:p>
    <w:p w14:paraId="176B736B">
      <w:pPr>
        <w:spacing w:before="80" w:after="100"/>
        <w:jc w:val="center"/>
      </w:pPr>
      <w:r>
        <w:drawing>
          <wp:inline distT="0" distB="0" distL="0" distR="0">
            <wp:extent cx="4572000" cy="2667000"/>
            <wp:effectExtent l="0" t="0" r="0" b="0"/>
            <wp:docPr id="15" name="06-3plan-detail.png" descr="图6-3 执行计划详情页" title="图6-3 执行计划详情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06-3plan-detail.png" descr="图6-3 执行计划详情页" title="图6-3 执行计划详情页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图6-3 执行计划详情页</w:t>
      </w:r>
    </w:p>
    <w:p w14:paraId="4D25825C">
      <w:pPr>
        <w:pStyle w:val="2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8"/>
          <w:szCs w:val="28"/>
        </w:rPr>
        <w:t>第7章 执行结果与评分报告</w:t>
      </w:r>
    </w:p>
    <w:p w14:paraId="40540CE8">
      <w:pPr>
        <w:pStyle w:val="3"/>
        <w:spacing w:before="160" w:after="8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7.1 执行结果详情</w:t>
      </w:r>
    </w:p>
    <w:p w14:paraId="0698E7B2">
      <w:pPr>
        <w:spacing w:before="40" w:after="4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在执行计划详情页，点击某条执行结果的"详情"按钮，打开结果详情抽屉。抽屉展示完整的评分信息：</w:t>
      </w:r>
    </w:p>
    <w:p w14:paraId="5892D52E">
      <w:pPr>
        <w:spacing w:before="20" w:after="20" w:line="320" w:lineRule="auto"/>
        <w:ind w:left="420" w:hanging="210"/>
      </w:pPr>
      <w:r>
        <w:rPr>
          <w:rFonts w:ascii="微软雅黑" w:hAnsi="微软雅黑" w:eastAsia="微软雅黑" w:cs="微软雅黑"/>
          <w:sz w:val="21"/>
          <w:szCs w:val="21"/>
        </w:rPr>
        <w:t>• 综合评分 — 各维度加权后的总分</w:t>
      </w:r>
    </w:p>
    <w:p w14:paraId="380A2E18">
      <w:pPr>
        <w:spacing w:before="20" w:after="20" w:line="320" w:lineRule="auto"/>
        <w:ind w:left="420" w:hanging="210"/>
      </w:pPr>
      <w:r>
        <w:rPr>
          <w:rFonts w:ascii="微软雅黑" w:hAnsi="微软雅黑" w:eastAsia="微软雅黑" w:cs="微软雅黑"/>
          <w:sz w:val="21"/>
          <w:szCs w:val="21"/>
        </w:rPr>
        <w:t>• AI语义评分明细 — 准确性、完整性等维度的分项得分</w:t>
      </w:r>
    </w:p>
    <w:p w14:paraId="78C8B0D0">
      <w:pPr>
        <w:spacing w:before="20" w:after="20" w:line="320" w:lineRule="auto"/>
        <w:ind w:left="420" w:hanging="210"/>
      </w:pPr>
      <w:r>
        <w:rPr>
          <w:rFonts w:ascii="微软雅黑" w:hAnsi="微软雅黑" w:eastAsia="微软雅黑" w:cs="微软雅黑"/>
          <w:sz w:val="21"/>
          <w:szCs w:val="21"/>
        </w:rPr>
        <w:t>• AI评价 — LLM 对回答质量的文字评述</w:t>
      </w:r>
    </w:p>
    <w:p w14:paraId="7F3C2EAB">
      <w:pPr>
        <w:spacing w:before="20" w:after="20" w:line="320" w:lineRule="auto"/>
        <w:ind w:left="420" w:hanging="210"/>
      </w:pPr>
      <w:r>
        <w:rPr>
          <w:rFonts w:ascii="微软雅黑" w:hAnsi="微软雅黑" w:eastAsia="微软雅黑" w:cs="微软雅黑"/>
          <w:sz w:val="21"/>
          <w:szCs w:val="21"/>
        </w:rPr>
        <w:t>• 目标系统实际回答内容 — 被测系统返回的原始回复</w:t>
      </w:r>
    </w:p>
    <w:p w14:paraId="23A01EFB">
      <w:pPr>
        <w:spacing w:before="20" w:after="20" w:line="320" w:lineRule="auto"/>
        <w:ind w:left="420" w:hanging="210"/>
      </w:pPr>
      <w:r>
        <w:rPr>
          <w:rFonts w:ascii="微软雅黑" w:hAnsi="微软雅黑" w:eastAsia="微软雅黑" w:cs="微软雅黑"/>
          <w:sz w:val="21"/>
          <w:szCs w:val="21"/>
        </w:rPr>
        <w:t>• 响应时间与是否通过 — 技术指标和判定结果</w:t>
      </w:r>
    </w:p>
    <w:p w14:paraId="5F5DD98B">
      <w:pPr>
        <w:spacing w:before="80" w:after="100"/>
        <w:jc w:val="center"/>
      </w:pPr>
      <w:r>
        <w:drawing>
          <wp:inline distT="0" distB="0" distL="0" distR="0">
            <wp:extent cx="3810000" cy="2476500"/>
            <wp:effectExtent l="0" t="0" r="0" b="0"/>
            <wp:docPr id="16" name="07-1result-detail.png" descr="图7-1 执行结果详情（评分明细与AI评价）" title="图7-1 执行结果详情（评分明细与AI评价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07-1result-detail.png" descr="图7-1 执行结果详情（评分明细与AI评价）" title="图7-1 执行结果详情（评分明细与AI评价）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图7-1 执行结果详情（评分明细与AI评价）</w:t>
      </w:r>
    </w:p>
    <w:p w14:paraId="72002E84">
      <w:pPr>
        <w:pStyle w:val="3"/>
        <w:spacing w:before="160" w:after="8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7.2 LLM调用统计</w:t>
      </w:r>
    </w:p>
    <w:p w14:paraId="5CE04BF1">
      <w:pPr>
        <w:spacing w:before="40" w:after="4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执行计划详情页同时展示 LLM 调用统计（调用次数、输入/输出 tokens），可展开查看每次调用的详情。文档详情页也有独立的 LLM 统计面板（参见第3章）。</w:t>
      </w:r>
    </w:p>
    <w:p w14:paraId="07692711">
      <w:pPr>
        <w:spacing w:before="80" w:after="100"/>
        <w:jc w:val="center"/>
      </w:pPr>
      <w:r>
        <w:drawing>
          <wp:inline distT="0" distB="0" distL="0" distR="0">
            <wp:extent cx="4572000" cy="2286000"/>
            <wp:effectExtent l="0" t="0" r="0" b="0"/>
            <wp:docPr id="17" name="07-2llm-stats.png" descr="图7-2 LLM调用统计" title="图7-2 LLM调用统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07-2llm-stats.png" descr="图7-2 LLM调用统计" title="图7-2 LLM调用统计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图7-2 LLM调用统计</w:t>
      </w:r>
    </w:p>
    <w:p w14:paraId="7614407C">
      <w:pPr>
        <w:pStyle w:val="2"/>
        <w:spacing w:before="240" w:after="120"/>
      </w:pPr>
      <w:r>
        <w:rPr>
          <w:rFonts w:ascii="微软雅黑" w:hAnsi="微软雅黑" w:eastAsia="微软雅黑" w:cs="微软雅黑"/>
          <w:b/>
          <w:bCs/>
          <w:color w:val="1F4E79"/>
          <w:sz w:val="28"/>
          <w:szCs w:val="28"/>
        </w:rPr>
        <w:t>第8章 管理员功能</w:t>
      </w:r>
    </w:p>
    <w:p w14:paraId="6E1B4BC3">
      <w:pPr>
        <w:pStyle w:val="3"/>
        <w:spacing w:before="160" w:after="8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8.1 系统配置</w:t>
      </w:r>
    </w:p>
    <w:p w14:paraId="3A68BE00">
      <w:pPr>
        <w:spacing w:before="40" w:after="4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管理员可在"系统配置"页面配置模型参数（AI模型选择、温度参数）和评分参数（各评分维度的权重和阈值）。</w:t>
      </w:r>
    </w:p>
    <w:p w14:paraId="156D6DCD">
      <w:pPr>
        <w:spacing w:before="80" w:after="100"/>
        <w:jc w:val="center"/>
      </w:pPr>
      <w:r>
        <w:drawing>
          <wp:inline distT="0" distB="0" distL="0" distR="0">
            <wp:extent cx="4572000" cy="2667000"/>
            <wp:effectExtent l="0" t="0" r="0" b="0"/>
            <wp:docPr id="18" name="08-1system-settings.png" descr="图8-1 系统配置页" title="图8-1 系统配置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08-1system-settings.png" descr="图8-1 系统配置页" title="图8-1 系统配置页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图8-1 系统配置页</w:t>
      </w:r>
    </w:p>
    <w:p w14:paraId="780A3A77">
      <w:pPr>
        <w:pStyle w:val="3"/>
        <w:spacing w:before="160" w:after="8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8.2 用户授权管理</w:t>
      </w:r>
    </w:p>
    <w:p w14:paraId="68DAE408">
      <w:pPr>
        <w:spacing w:before="40" w:after="4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管理员可在"用户授权"页面查看所有用户列表，为用户分配角色（管理员/普通用户）。</w:t>
      </w:r>
    </w:p>
    <w:p w14:paraId="36BE49E5">
      <w:pPr>
        <w:spacing w:before="80" w:after="100"/>
        <w:jc w:val="center"/>
      </w:pPr>
      <w:r>
        <w:drawing>
          <wp:inline distT="0" distB="0" distL="0" distR="0">
            <wp:extent cx="4572000" cy="2667000"/>
            <wp:effectExtent l="0" t="0" r="0" b="0"/>
            <wp:docPr id="19" name="08-2user-auth.png" descr="图8-2 用户授权管理页" title="图8-2 用户授权管理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08-2user-auth.png" descr="图8-2 用户授权管理页" title="图8-2 用户授权管理页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图8-2 用户授权管理页</w:t>
      </w:r>
    </w:p>
    <w:p w14:paraId="063E5E7C">
      <w:pPr>
        <w:pStyle w:val="3"/>
        <w:spacing w:before="160" w:after="8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8.3 操作记录</w:t>
      </w:r>
    </w:p>
    <w:p w14:paraId="330E010C">
      <w:pPr>
        <w:spacing w:before="40" w:after="40" w:line="320" w:lineRule="auto"/>
      </w:pPr>
      <w:r>
        <w:rPr>
          <w:rFonts w:ascii="微软雅黑" w:hAnsi="微软雅黑" w:eastAsia="微软雅黑" w:cs="微软雅黑"/>
          <w:sz w:val="21"/>
          <w:szCs w:val="21"/>
        </w:rPr>
        <w:t>管理员可在"操作记录"页面查看系统所有操作日志（操作时间、用户、操作类型、目标类型、详情）。支持按操作类型、用户名、日期范围筛选。</w:t>
      </w:r>
    </w:p>
    <w:p w14:paraId="4D9065E0">
      <w:pPr>
        <w:spacing w:before="80" w:after="100"/>
        <w:jc w:val="center"/>
      </w:pPr>
      <w:r>
        <w:drawing>
          <wp:inline distT="0" distB="0" distL="0" distR="0">
            <wp:extent cx="4572000" cy="2667000"/>
            <wp:effectExtent l="0" t="0" r="0" b="0"/>
            <wp:docPr id="20" name="08-3operation-log.png" descr="图8-3 操作记录页" title="图8-3 操作记录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08-3operation-log.png" descr="图8-3 操作记录页" title="图8-3 操作记录页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微软雅黑" w:hAnsi="微软雅黑" w:eastAsia="微软雅黑" w:cs="微软雅黑"/>
          <w:i/>
          <w:iCs/>
          <w:color w:val="888888"/>
          <w:sz w:val="18"/>
          <w:szCs w:val="18"/>
        </w:rPr>
        <w:t>图8-3 操作记录页</w:t>
      </w:r>
    </w:p>
    <w:sectPr>
      <w:headerReference r:id="rId3" w:type="default"/>
      <w:footerReference r:id="rId4" w:type="default"/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90C538">
    <w:pPr>
      <w:jc w:val="center"/>
    </w:pPr>
    <w:r>
      <w:rPr>
        <w:rFonts w:ascii="微软雅黑" w:hAnsi="微软雅黑" w:eastAsia="微软雅黑" w:cs="微软雅黑"/>
        <w:sz w:val="16"/>
        <w:szCs w:val="16"/>
      </w:rPr>
      <w:t xml:space="preserve">第 </w:t>
    </w:r>
    <w:r>
      <w:rPr>
        <w:rFonts w:ascii="微软雅黑" w:hAnsi="微软雅黑" w:eastAsia="微软雅黑" w:cs="微软雅黑"/>
        <w:sz w:val="16"/>
        <w:szCs w:val="16"/>
      </w:rPr>
      <w:fldChar w:fldCharType="begin"/>
    </w:r>
    <w:r>
      <w:rPr>
        <w:rFonts w:ascii="微软雅黑" w:hAnsi="微软雅黑" w:eastAsia="微软雅黑" w:cs="微软雅黑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sz w:val="16"/>
        <w:szCs w:val="16"/>
      </w:rPr>
      <w:fldChar w:fldCharType="separate"/>
    </w:r>
    <w:r>
      <w:rPr>
        <w:rFonts w:ascii="微软雅黑" w:hAnsi="微软雅黑" w:eastAsia="微软雅黑" w:cs="微软雅黑"/>
        <w:sz w:val="16"/>
        <w:szCs w:val="16"/>
      </w:rPr>
      <w:fldChar w:fldCharType="end"/>
    </w:r>
    <w:r>
      <w:rPr>
        <w:rFonts w:ascii="微软雅黑" w:hAnsi="微软雅黑" w:eastAsia="微软雅黑" w:cs="微软雅黑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09EF62">
    <w:pPr>
      <w:jc w:val="right"/>
    </w:pPr>
    <w:r>
      <w:rPr>
        <w:rFonts w:ascii="微软雅黑" w:hAnsi="微软雅黑" w:eastAsia="微软雅黑" w:cs="微软雅黑"/>
        <w:color w:val="AAAAAA"/>
        <w:sz w:val="16"/>
        <w:szCs w:val="16"/>
      </w:rPr>
      <w:t>智能客服测试平台 操作说明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F2FBD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微软雅黑" w:hAnsi="微软雅黑" w:eastAsia="微软雅黑" w:cs="微软雅黑"/>
      <w:b/>
      <w:bCs/>
      <w:color w:val="1F4E79"/>
      <w:sz w:val="28"/>
      <w:szCs w:val="28"/>
    </w:rPr>
  </w:style>
  <w:style w:type="paragraph" w:styleId="3">
    <w:name w:val="heading 2"/>
    <w:next w:val="1"/>
    <w:qFormat/>
    <w:uiPriority w:val="0"/>
    <w:pPr>
      <w:spacing w:before="160" w:after="80"/>
      <w:outlineLvl w:val="1"/>
    </w:pPr>
    <w:rPr>
      <w:rFonts w:ascii="微软雅黑" w:hAnsi="微软雅黑" w:eastAsia="微软雅黑" w:cs="微软雅黑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0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胖仔爱牛肉</cp:lastModifiedBy>
  <dcterms:modified xsi:type="dcterms:W3CDTF">2026-06-03T10:22:26Z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FEFE760E4DB7E0A6E28F1F6A0EE17A76_42</vt:lpwstr>
  </property>
</Properties>
</file>