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2C1CD">
      <w:pPr>
        <w:jc w:val="center"/>
      </w:pPr>
    </w:p>
    <w:p w14:paraId="7B58D2CA">
      <w:pPr>
        <w:jc w:val="center"/>
      </w:pPr>
    </w:p>
    <w:p w14:paraId="055707F6">
      <w:pPr>
        <w:ind w:left="210" w:right="540" w:firstLine="0"/>
        <w:jc w:val="center"/>
        <w:rPr>
          <w:rFonts w:ascii="宋体" w:hAnsi="宋体" w:eastAsia="宋体" w:cs="宋体"/>
          <w:kern w:val="0"/>
          <w:sz w:val="36"/>
          <w:szCs w:val="36"/>
          <w:lang w:val="zh-TW" w:eastAsia="zh-TW"/>
        </w:rPr>
      </w:pPr>
    </w:p>
    <w:p w14:paraId="5AB331A2">
      <w:pPr>
        <w:ind w:left="210" w:right="540" w:firstLine="0"/>
        <w:jc w:val="center"/>
        <w:rPr>
          <w:rFonts w:hint="default" w:ascii="宋体" w:hAnsi="宋体" w:eastAsia="宋体" w:cs="宋体"/>
          <w:color w:val="000000"/>
          <w:sz w:val="44"/>
          <w:szCs w:val="44"/>
          <w:u w:color="000000"/>
          <w:lang w:val="en-US" w:eastAsia="zh-CN"/>
        </w:rPr>
      </w:pPr>
      <w:r>
        <w:rPr>
          <w:rFonts w:hint="eastAsia" w:ascii="宋体" w:hAnsi="宋体"/>
          <w:color w:val="000000"/>
          <w:sz w:val="44"/>
          <w:szCs w:val="44"/>
          <w:u w:color="000000"/>
          <w:rtl w:val="0"/>
          <w:lang w:val="en-US" w:eastAsia="zh-CN"/>
        </w:rPr>
        <w:t>文旅厅</w:t>
      </w:r>
    </w:p>
    <w:p w14:paraId="7A21829C">
      <w:pPr>
        <w:ind w:left="210" w:right="540" w:firstLine="0"/>
        <w:jc w:val="center"/>
        <w:rPr>
          <w:rFonts w:ascii="宋体" w:hAnsi="宋体" w:eastAsia="宋体" w:cs="宋体"/>
          <w:kern w:val="0"/>
          <w:sz w:val="44"/>
          <w:szCs w:val="44"/>
        </w:rPr>
      </w:pPr>
      <w:r>
        <w:rPr>
          <w:rFonts w:hint="eastAsia"/>
          <w:kern w:val="0"/>
          <w:sz w:val="44"/>
          <w:szCs w:val="44"/>
          <w:rtl w:val="0"/>
          <w:lang w:val="en-US" w:eastAsia="zh-CN"/>
        </w:rPr>
        <w:t>项目预算申报管理交底说明</w:t>
      </w:r>
    </w:p>
    <w:p w14:paraId="5A57561F">
      <w:pPr>
        <w:widowControl/>
        <w:spacing w:after="200"/>
        <w:ind w:right="26"/>
        <w:jc w:val="left"/>
        <w:rPr>
          <w:rFonts w:ascii="宋体" w:hAnsi="宋体" w:eastAsia="宋体" w:cs="宋体"/>
          <w:kern w:val="0"/>
          <w:sz w:val="28"/>
          <w:szCs w:val="28"/>
          <w:lang w:val="zh-TW" w:eastAsia="zh-TW"/>
        </w:rPr>
      </w:pPr>
    </w:p>
    <w:p w14:paraId="292E8871">
      <w:pPr>
        <w:widowControl/>
        <w:spacing w:after="200"/>
        <w:ind w:right="26"/>
        <w:jc w:val="center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eastAsia="宋体"/>
          <w:kern w:val="0"/>
          <w:sz w:val="28"/>
          <w:szCs w:val="28"/>
          <w:rtl w:val="0"/>
          <w:lang w:val="zh-TW" w:eastAsia="zh-TW"/>
        </w:rPr>
        <w:t>版本号：</w:t>
      </w:r>
      <w:r>
        <w:rPr>
          <w:rFonts w:ascii="宋体" w:hAnsi="宋体"/>
          <w:kern w:val="0"/>
          <w:sz w:val="28"/>
          <w:szCs w:val="28"/>
          <w:rtl w:val="0"/>
          <w:lang w:val="en-US"/>
        </w:rPr>
        <w:t>1.0.0</w:t>
      </w:r>
    </w:p>
    <w:p w14:paraId="526FB1BD">
      <w:pPr>
        <w:widowControl/>
        <w:spacing w:after="200"/>
        <w:ind w:right="26"/>
        <w:jc w:val="center"/>
        <w:rPr>
          <w:rFonts w:ascii="宋体" w:hAnsi="宋体" w:eastAsia="宋体" w:cs="宋体"/>
          <w:kern w:val="0"/>
          <w:sz w:val="28"/>
          <w:szCs w:val="28"/>
          <w:lang w:val="zh-TW" w:eastAsia="zh-TW"/>
        </w:rPr>
      </w:pPr>
      <w:r>
        <w:rPr>
          <w:rFonts w:hint="eastAsia" w:eastAsia="宋体"/>
          <w:kern w:val="0"/>
          <w:sz w:val="28"/>
          <w:szCs w:val="28"/>
          <w:rtl w:val="0"/>
          <w:lang w:val="zh-TW" w:eastAsia="zh-TW"/>
        </w:rPr>
        <w:t>受控状态：受控</w:t>
      </w:r>
    </w:p>
    <w:p w14:paraId="514A2B0B">
      <w:pPr>
        <w:widowControl/>
        <w:spacing w:after="156"/>
        <w:jc w:val="left"/>
        <w:rPr>
          <w:rFonts w:ascii="宋体" w:hAnsi="宋体" w:eastAsia="宋体" w:cs="宋体"/>
          <w:kern w:val="0"/>
          <w:sz w:val="32"/>
          <w:szCs w:val="32"/>
          <w:lang w:val="zh-TW" w:eastAsia="zh-TW"/>
        </w:rPr>
      </w:pPr>
    </w:p>
    <w:p w14:paraId="4A6DFD66">
      <w:pPr>
        <w:widowControl/>
        <w:spacing w:after="156"/>
        <w:ind w:left="2100" w:firstLine="420"/>
        <w:jc w:val="left"/>
        <w:rPr>
          <w:rFonts w:ascii="宋体" w:hAnsi="宋体" w:eastAsia="宋体" w:cs="宋体"/>
          <w:kern w:val="0"/>
          <w:sz w:val="32"/>
          <w:szCs w:val="32"/>
          <w:u w:val="single"/>
        </w:rPr>
      </w:pPr>
      <w:r>
        <w:rPr>
          <w:rFonts w:hint="eastAsia" w:eastAsia="宋体"/>
          <w:kern w:val="0"/>
          <w:sz w:val="32"/>
          <w:szCs w:val="32"/>
          <w:rtl w:val="0"/>
          <w:lang w:val="zh-TW" w:eastAsia="zh-TW"/>
        </w:rPr>
        <w:t>编写：</w:t>
      </w:r>
      <w:r>
        <w:rPr>
          <w:rFonts w:ascii="宋体" w:hAnsi="宋体"/>
          <w:kern w:val="0"/>
          <w:sz w:val="32"/>
          <w:szCs w:val="32"/>
          <w:u w:val="single"/>
          <w:rtl w:val="0"/>
          <w:lang w:val="en-US"/>
        </w:rPr>
        <w:t xml:space="preserve">          </w:t>
      </w:r>
    </w:p>
    <w:p w14:paraId="72580334">
      <w:pPr>
        <w:widowControl/>
        <w:spacing w:after="156"/>
        <w:ind w:left="2100" w:firstLine="42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eastAsia="宋体"/>
          <w:kern w:val="0"/>
          <w:sz w:val="32"/>
          <w:szCs w:val="32"/>
          <w:rtl w:val="0"/>
          <w:lang w:val="zh-TW" w:eastAsia="zh-TW"/>
        </w:rPr>
        <w:t>审核：</w:t>
      </w:r>
      <w:r>
        <w:rPr>
          <w:rFonts w:ascii="宋体" w:hAnsi="宋体"/>
          <w:kern w:val="0"/>
          <w:sz w:val="32"/>
          <w:szCs w:val="32"/>
          <w:u w:val="single"/>
          <w:rtl w:val="0"/>
          <w:lang w:val="en-US"/>
        </w:rPr>
        <w:t xml:space="preserve">          </w:t>
      </w:r>
    </w:p>
    <w:p w14:paraId="72346A68">
      <w:pPr>
        <w:widowControl/>
        <w:spacing w:after="156"/>
        <w:ind w:left="2100" w:firstLine="42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eastAsia="宋体"/>
          <w:kern w:val="0"/>
          <w:sz w:val="32"/>
          <w:szCs w:val="32"/>
          <w:rtl w:val="0"/>
          <w:lang w:val="zh-TW" w:eastAsia="zh-TW"/>
        </w:rPr>
        <w:t>批准：</w:t>
      </w:r>
      <w:r>
        <w:rPr>
          <w:rFonts w:ascii="宋体" w:hAnsi="宋体"/>
          <w:kern w:val="0"/>
          <w:sz w:val="32"/>
          <w:szCs w:val="32"/>
          <w:u w:val="single"/>
          <w:rtl w:val="0"/>
          <w:lang w:val="en-US"/>
        </w:rPr>
        <w:t xml:space="preserve">          </w:t>
      </w:r>
    </w:p>
    <w:p w14:paraId="51575F2A">
      <w:pPr>
        <w:widowControl/>
        <w:spacing w:after="156"/>
        <w:jc w:val="left"/>
        <w:rPr>
          <w:rFonts w:ascii="宋体" w:hAnsi="宋体" w:eastAsia="宋体" w:cs="宋体"/>
          <w:kern w:val="0"/>
          <w:sz w:val="32"/>
          <w:szCs w:val="32"/>
          <w:lang w:val="zh-TW" w:eastAsia="zh-TW"/>
        </w:rPr>
      </w:pPr>
    </w:p>
    <w:p w14:paraId="4786E9BF">
      <w:pPr>
        <w:widowControl/>
        <w:jc w:val="left"/>
      </w:pPr>
      <w:r>
        <w:rPr>
          <w:rFonts w:ascii="微软雅黑" w:hAnsi="微软雅黑" w:eastAsia="微软雅黑" w:cs="微软雅黑"/>
          <w:kern w:val="0"/>
          <w:sz w:val="28"/>
          <w:szCs w:val="28"/>
        </w:rPr>
        <w:br w:type="page"/>
      </w:r>
    </w:p>
    <w:p w14:paraId="1AA1D4E7">
      <w:pPr>
        <w:spacing w:line="240" w:lineRule="auto"/>
        <w:jc w:val="center"/>
        <w:rPr>
          <w:lang w:val="zh-TW" w:eastAsia="zh-TW"/>
        </w:rPr>
      </w:pPr>
      <w:r>
        <w:rPr>
          <w:rFonts w:hint="eastAsia" w:eastAsia="宋体"/>
          <w:sz w:val="32"/>
          <w:szCs w:val="32"/>
          <w:rtl w:val="0"/>
          <w:lang w:val="zh-TW" w:eastAsia="zh-TW"/>
        </w:rPr>
        <w:t>目录</w:t>
      </w:r>
    </w:p>
    <w:p w14:paraId="1BA91177">
      <w:pPr>
        <w:pStyle w:val="28"/>
        <w:tabs>
          <w:tab w:val="right" w:leader="dot" w:pos="8446"/>
        </w:tabs>
      </w:pPr>
      <w:r>
        <w:fldChar w:fldCharType="begin"/>
      </w:r>
      <w:r>
        <w:instrText xml:space="preserve"> TOC \* MERGEFORMAT </w:instrText>
      </w:r>
      <w:r>
        <w:fldChar w:fldCharType="separate"/>
      </w:r>
      <w:r>
        <w:rPr>
          <w:rFonts w:hint="eastAsia" w:ascii="宋体" w:hAnsi="宋体" w:eastAsia="宋体" w:cs="宋体"/>
          <w:bCs/>
          <w:rtl w:val="0"/>
          <w:lang w:val="zh-TW" w:eastAsia="zh-TW"/>
        </w:rPr>
        <w:t>1 概述</w:t>
      </w:r>
      <w:r>
        <w:tab/>
      </w:r>
      <w:r>
        <w:fldChar w:fldCharType="begin"/>
      </w:r>
      <w:r>
        <w:instrText xml:space="preserve"> PAGEREF _Toc26611 \h </w:instrText>
      </w:r>
      <w:r>
        <w:fldChar w:fldCharType="separate"/>
      </w:r>
      <w:r>
        <w:t>3</w:t>
      </w:r>
      <w:r>
        <w:fldChar w:fldCharType="end"/>
      </w:r>
    </w:p>
    <w:p w14:paraId="1DC04848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1.1 </w:t>
      </w:r>
      <w:r>
        <w:rPr>
          <w:rFonts w:hint="eastAsia" w:ascii="宋体" w:hAnsi="宋体" w:eastAsia="宋体" w:cs="宋体"/>
          <w:rtl w:val="0"/>
          <w:lang w:val="en-US" w:eastAsia="zh-CN"/>
        </w:rPr>
        <w:t>项目</w:t>
      </w:r>
      <w:r>
        <w:rPr>
          <w:rFonts w:hint="eastAsia" w:ascii="宋体" w:hAnsi="宋体" w:eastAsia="宋体" w:cs="宋体"/>
          <w:rtl w:val="0"/>
          <w:lang w:val="zh-TW" w:eastAsia="zh-TW"/>
        </w:rPr>
        <w:t>概述及目标</w:t>
      </w:r>
      <w:r>
        <w:tab/>
      </w:r>
      <w:r>
        <w:fldChar w:fldCharType="begin"/>
      </w:r>
      <w:r>
        <w:instrText xml:space="preserve"> PAGEREF _Toc29623 \h </w:instrText>
      </w:r>
      <w:r>
        <w:fldChar w:fldCharType="separate"/>
      </w:r>
      <w:r>
        <w:t>3</w:t>
      </w:r>
      <w:r>
        <w:fldChar w:fldCharType="end"/>
      </w:r>
    </w:p>
    <w:p w14:paraId="6B408DEC">
      <w:pPr>
        <w:pStyle w:val="25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1.1.1 </w:t>
      </w:r>
      <w:r>
        <w:rPr>
          <w:rFonts w:hint="eastAsia" w:ascii="宋体" w:hAnsi="宋体" w:eastAsia="宋体" w:cs="宋体"/>
          <w:rtl w:val="0"/>
          <w:lang w:val="en-US" w:eastAsia="zh-CN"/>
        </w:rPr>
        <w:t>项目</w:t>
      </w:r>
      <w:r>
        <w:rPr>
          <w:rFonts w:hint="eastAsia" w:ascii="宋体" w:hAnsi="宋体" w:eastAsia="宋体" w:cs="宋体"/>
          <w:rtl w:val="0"/>
          <w:lang w:val="zh-TW" w:eastAsia="zh-TW"/>
        </w:rPr>
        <w:t>背景</w:t>
      </w:r>
      <w:r>
        <w:tab/>
      </w:r>
      <w:r>
        <w:fldChar w:fldCharType="begin"/>
      </w:r>
      <w:r>
        <w:instrText xml:space="preserve"> PAGEREF _Toc6213 \h </w:instrText>
      </w:r>
      <w:r>
        <w:fldChar w:fldCharType="separate"/>
      </w:r>
      <w:r>
        <w:t>3</w:t>
      </w:r>
      <w:r>
        <w:fldChar w:fldCharType="end"/>
      </w:r>
    </w:p>
    <w:p w14:paraId="253E051C">
      <w:pPr>
        <w:pStyle w:val="25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1.1.2 </w:t>
      </w:r>
      <w:r>
        <w:rPr>
          <w:rFonts w:hint="eastAsia" w:ascii="宋体" w:hAnsi="宋体" w:eastAsia="宋体" w:cs="宋体"/>
          <w:rtl w:val="0"/>
          <w:lang w:val="en-US" w:eastAsia="zh-CN"/>
        </w:rPr>
        <w:t>项目</w:t>
      </w:r>
      <w:r>
        <w:rPr>
          <w:rFonts w:hint="eastAsia" w:ascii="宋体" w:hAnsi="宋体" w:eastAsia="宋体" w:cs="宋体"/>
          <w:rtl w:val="0"/>
          <w:lang w:val="zh-TW" w:eastAsia="zh-TW"/>
        </w:rPr>
        <w:t>目标</w:t>
      </w:r>
      <w:r>
        <w:tab/>
      </w:r>
      <w:r>
        <w:fldChar w:fldCharType="begin"/>
      </w:r>
      <w:r>
        <w:instrText xml:space="preserve"> PAGEREF _Toc8444 \h </w:instrText>
      </w:r>
      <w:r>
        <w:fldChar w:fldCharType="separate"/>
      </w:r>
      <w:r>
        <w:t>3</w:t>
      </w:r>
      <w:r>
        <w:fldChar w:fldCharType="end"/>
      </w:r>
    </w:p>
    <w:p w14:paraId="197AACF3">
      <w:pPr>
        <w:pStyle w:val="2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2 </w:t>
      </w:r>
      <w:r>
        <w:rPr>
          <w:rFonts w:hint="eastAsia" w:ascii="宋体" w:hAnsi="宋体" w:eastAsia="宋体" w:cs="宋体"/>
          <w:bCs/>
          <w:rtl w:val="0"/>
          <w:lang w:val="zh-TW" w:eastAsia="zh-TW"/>
        </w:rPr>
        <w:t>功能需求</w:t>
      </w:r>
      <w:r>
        <w:tab/>
      </w:r>
      <w:r>
        <w:fldChar w:fldCharType="begin"/>
      </w:r>
      <w:r>
        <w:instrText xml:space="preserve"> PAGEREF _Toc31207 \h </w:instrText>
      </w:r>
      <w:r>
        <w:fldChar w:fldCharType="separate"/>
      </w:r>
      <w:r>
        <w:t>1</w:t>
      </w:r>
      <w:r>
        <w:fldChar w:fldCharType="end"/>
      </w:r>
    </w:p>
    <w:p w14:paraId="241B6001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2.1 </w:t>
      </w:r>
      <w:r>
        <w:rPr>
          <w:rFonts w:hint="eastAsia" w:ascii="宋体" w:hAnsi="宋体" w:eastAsia="宋体" w:cs="宋体"/>
          <w:rtl w:val="0"/>
          <w:lang w:val="zh-TW" w:eastAsia="zh-CN"/>
        </w:rPr>
        <w:t>整体实现思路</w:t>
      </w:r>
      <w:r>
        <w:tab/>
      </w:r>
      <w:r>
        <w:fldChar w:fldCharType="begin"/>
      </w:r>
      <w:r>
        <w:instrText xml:space="preserve"> PAGEREF _Toc21346 \h </w:instrText>
      </w:r>
      <w:r>
        <w:fldChar w:fldCharType="separate"/>
      </w:r>
      <w:r>
        <w:t>1</w:t>
      </w:r>
      <w:r>
        <w:fldChar w:fldCharType="end"/>
      </w:r>
    </w:p>
    <w:p w14:paraId="3AFF2CAC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2.2 </w:t>
      </w:r>
      <w:r>
        <w:rPr>
          <w:rFonts w:hint="eastAsia" w:ascii="宋体" w:hAnsi="宋体" w:eastAsia="宋体" w:cs="宋体"/>
          <w:rtl w:val="0"/>
          <w:lang w:val="zh-TW" w:eastAsia="zh-CN"/>
        </w:rPr>
        <w:t>数据关系图</w:t>
      </w:r>
      <w:r>
        <w:tab/>
      </w:r>
      <w:r>
        <w:fldChar w:fldCharType="begin"/>
      </w:r>
      <w:r>
        <w:instrText xml:space="preserve"> PAGEREF _Toc8679 \h </w:instrText>
      </w:r>
      <w:r>
        <w:fldChar w:fldCharType="separate"/>
      </w:r>
      <w:r>
        <w:t>1</w:t>
      </w:r>
      <w:r>
        <w:fldChar w:fldCharType="end"/>
      </w:r>
    </w:p>
    <w:p w14:paraId="1076E21D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2.3 </w:t>
      </w:r>
      <w:r>
        <w:rPr>
          <w:rFonts w:hint="eastAsia" w:ascii="宋体" w:hAnsi="宋体" w:eastAsia="宋体" w:cs="宋体"/>
          <w:rtl w:val="0"/>
          <w:lang w:val="zh-TW" w:eastAsia="zh-CN"/>
        </w:rPr>
        <w:t>页面层级图</w:t>
      </w:r>
      <w:r>
        <w:tab/>
      </w:r>
      <w:r>
        <w:fldChar w:fldCharType="begin"/>
      </w:r>
      <w:r>
        <w:instrText xml:space="preserve"> PAGEREF _Toc20072 \h </w:instrText>
      </w:r>
      <w:r>
        <w:fldChar w:fldCharType="separate"/>
      </w:r>
      <w:r>
        <w:t>1</w:t>
      </w:r>
      <w:r>
        <w:fldChar w:fldCharType="end"/>
      </w:r>
    </w:p>
    <w:p w14:paraId="70CBDF7A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2.4 </w:t>
      </w:r>
      <w:r>
        <w:rPr>
          <w:rFonts w:hint="eastAsia" w:ascii="宋体" w:hAnsi="宋体" w:eastAsia="宋体" w:cs="宋体"/>
          <w:rtl w:val="0"/>
          <w:lang w:val="zh-TW" w:eastAsia="zh-CN"/>
        </w:rPr>
        <w:t>术语和名称</w:t>
      </w:r>
      <w:r>
        <w:tab/>
      </w:r>
      <w:r>
        <w:fldChar w:fldCharType="begin"/>
      </w:r>
      <w:r>
        <w:instrText xml:space="preserve"> PAGEREF _Toc17894 \h </w:instrText>
      </w:r>
      <w:r>
        <w:fldChar w:fldCharType="separate"/>
      </w:r>
      <w:r>
        <w:t>2</w:t>
      </w:r>
      <w:r>
        <w:fldChar w:fldCharType="end"/>
      </w:r>
    </w:p>
    <w:p w14:paraId="7B2A5B29">
      <w:pPr>
        <w:pStyle w:val="2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3 </w:t>
      </w:r>
      <w:r>
        <w:rPr>
          <w:rFonts w:hint="eastAsia" w:ascii="宋体" w:hAnsi="宋体" w:eastAsia="宋体" w:cs="宋体"/>
          <w:bCs/>
          <w:rtl w:val="0"/>
          <w:lang w:val="zh-TW" w:eastAsia="zh-TW"/>
        </w:rPr>
        <w:t>功能需求</w:t>
      </w:r>
      <w:r>
        <w:tab/>
      </w:r>
      <w:r>
        <w:fldChar w:fldCharType="begin"/>
      </w:r>
      <w:r>
        <w:instrText xml:space="preserve"> PAGEREF _Toc22745 \h </w:instrText>
      </w:r>
      <w:r>
        <w:fldChar w:fldCharType="separate"/>
      </w:r>
      <w:r>
        <w:t>2</w:t>
      </w:r>
      <w:r>
        <w:fldChar w:fldCharType="end"/>
      </w:r>
    </w:p>
    <w:p w14:paraId="6EB6FFD8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3.1 </w:t>
      </w:r>
      <w:r>
        <w:rPr>
          <w:rFonts w:hint="eastAsia" w:ascii="宋体" w:hAnsi="宋体" w:eastAsia="宋体" w:cs="宋体"/>
          <w:rtl w:val="0"/>
          <w:lang w:val="en-US" w:eastAsia="zh-CN"/>
        </w:rPr>
        <w:t>预算管理</w:t>
      </w:r>
      <w:r>
        <w:tab/>
      </w:r>
      <w:r>
        <w:fldChar w:fldCharType="begin"/>
      </w:r>
      <w:r>
        <w:instrText xml:space="preserve"> PAGEREF _Toc8813 \h </w:instrText>
      </w:r>
      <w:r>
        <w:fldChar w:fldCharType="separate"/>
      </w:r>
      <w:r>
        <w:t>2</w:t>
      </w:r>
      <w:r>
        <w:fldChar w:fldCharType="end"/>
      </w:r>
    </w:p>
    <w:p w14:paraId="373B9119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3.1.1 </w:t>
      </w:r>
      <w:r>
        <w:rPr>
          <w:rFonts w:hint="eastAsia"/>
          <w:rtl w:val="0"/>
          <w:lang w:val="en-US" w:eastAsia="zh-CN"/>
        </w:rPr>
        <w:t>预算配置管理</w:t>
      </w:r>
      <w:r>
        <w:tab/>
      </w:r>
      <w:r>
        <w:fldChar w:fldCharType="begin"/>
      </w:r>
      <w:r>
        <w:instrText xml:space="preserve"> PAGEREF _Toc12893 \h </w:instrText>
      </w:r>
      <w:r>
        <w:fldChar w:fldCharType="separate"/>
      </w:r>
      <w:r>
        <w:t>2</w:t>
      </w:r>
      <w:r>
        <w:fldChar w:fldCharType="end"/>
      </w:r>
    </w:p>
    <w:p w14:paraId="57A9E981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3.1.1.1 </w:t>
      </w:r>
      <w:r>
        <w:rPr>
          <w:rFonts w:hint="eastAsia"/>
          <w:rtl w:val="0"/>
          <w:lang w:val="en-US" w:eastAsia="zh-CN"/>
        </w:rPr>
        <w:t>预算项目</w:t>
      </w:r>
      <w:r>
        <w:tab/>
      </w:r>
      <w:r>
        <w:fldChar w:fldCharType="begin"/>
      </w:r>
      <w:r>
        <w:instrText xml:space="preserve"> PAGEREF _Toc8378 \h </w:instrText>
      </w:r>
      <w:r>
        <w:fldChar w:fldCharType="separate"/>
      </w:r>
      <w:r>
        <w:t>2</w:t>
      </w:r>
      <w:r>
        <w:fldChar w:fldCharType="end"/>
      </w:r>
    </w:p>
    <w:p w14:paraId="55F1D102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3.1.1.2 </w:t>
      </w:r>
      <w:r>
        <w:rPr>
          <w:rFonts w:hint="eastAsia"/>
          <w:rtl w:val="0"/>
          <w:lang w:val="en-US" w:eastAsia="zh-CN"/>
        </w:rPr>
        <w:t>预算科目</w:t>
      </w:r>
      <w:r>
        <w:tab/>
      </w:r>
      <w:r>
        <w:fldChar w:fldCharType="begin"/>
      </w:r>
      <w:r>
        <w:instrText xml:space="preserve"> PAGEREF _Toc3719 \h </w:instrText>
      </w:r>
      <w:r>
        <w:fldChar w:fldCharType="separate"/>
      </w:r>
      <w:r>
        <w:t>2</w:t>
      </w:r>
      <w:r>
        <w:fldChar w:fldCharType="end"/>
      </w:r>
    </w:p>
    <w:p w14:paraId="4A061129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3.1.1.3 </w:t>
      </w:r>
      <w:r>
        <w:rPr>
          <w:rFonts w:hint="eastAsia"/>
          <w:rtl w:val="0"/>
          <w:lang w:val="en-US" w:eastAsia="zh-CN"/>
        </w:rPr>
        <w:t>费用项管理</w:t>
      </w:r>
      <w:r>
        <w:tab/>
      </w:r>
      <w:r>
        <w:fldChar w:fldCharType="begin"/>
      </w:r>
      <w:r>
        <w:instrText xml:space="preserve"> PAGEREF _Toc8225 \h </w:instrText>
      </w:r>
      <w:r>
        <w:fldChar w:fldCharType="separate"/>
      </w:r>
      <w:r>
        <w:t>3</w:t>
      </w:r>
      <w:r>
        <w:fldChar w:fldCharType="end"/>
      </w:r>
    </w:p>
    <w:p w14:paraId="5F59F040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3.1.1.4 </w:t>
      </w:r>
      <w:r>
        <w:rPr>
          <w:rFonts w:hint="eastAsia"/>
          <w:rtl w:val="0"/>
          <w:lang w:val="en-US" w:eastAsia="zh-CN"/>
        </w:rPr>
        <w:t>事项管理</w:t>
      </w:r>
      <w:r>
        <w:tab/>
      </w:r>
      <w:r>
        <w:fldChar w:fldCharType="begin"/>
      </w:r>
      <w:r>
        <w:instrText xml:space="preserve"> PAGEREF _Toc2374 \h </w:instrText>
      </w:r>
      <w:r>
        <w:fldChar w:fldCharType="separate"/>
      </w:r>
      <w:r>
        <w:t>5</w:t>
      </w:r>
      <w:r>
        <w:fldChar w:fldCharType="end"/>
      </w:r>
    </w:p>
    <w:p w14:paraId="66D6C7D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3.1.2 </w:t>
      </w:r>
      <w:r>
        <w:rPr>
          <w:rFonts w:hint="eastAsia"/>
          <w:rtl w:val="0"/>
          <w:lang w:val="en-US" w:eastAsia="zh-CN"/>
        </w:rPr>
        <w:t>预算项目申报</w:t>
      </w:r>
      <w:r>
        <w:tab/>
      </w:r>
      <w:r>
        <w:fldChar w:fldCharType="begin"/>
      </w:r>
      <w:r>
        <w:instrText xml:space="preserve"> PAGEREF _Toc10029 \h </w:instrText>
      </w:r>
      <w:r>
        <w:fldChar w:fldCharType="separate"/>
      </w:r>
      <w:r>
        <w:t>7</w:t>
      </w:r>
      <w:r>
        <w:fldChar w:fldCharType="end"/>
      </w:r>
    </w:p>
    <w:p w14:paraId="5DFCA7DD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3.1.2.1 </w:t>
      </w:r>
      <w:r>
        <w:rPr>
          <w:rFonts w:hint="eastAsia"/>
          <w:rtl w:val="0"/>
          <w:lang w:val="en-US" w:eastAsia="zh-CN"/>
        </w:rPr>
        <w:t>预算项目申报-经办人</w:t>
      </w:r>
      <w:r>
        <w:tab/>
      </w:r>
      <w:r>
        <w:fldChar w:fldCharType="begin"/>
      </w:r>
      <w:r>
        <w:instrText xml:space="preserve"> PAGEREF _Toc26596 \h </w:instrText>
      </w:r>
      <w:r>
        <w:fldChar w:fldCharType="separate"/>
      </w:r>
      <w:r>
        <w:t>7</w:t>
      </w:r>
      <w:r>
        <w:fldChar w:fldCharType="end"/>
      </w:r>
    </w:p>
    <w:p w14:paraId="63B72A2E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3.1.2.2 </w:t>
      </w:r>
      <w:r>
        <w:rPr>
          <w:rFonts w:hint="eastAsia"/>
          <w:rtl w:val="0"/>
          <w:lang w:val="en-US" w:eastAsia="zh-CN"/>
        </w:rPr>
        <w:t>项目审核管理-财务</w:t>
      </w:r>
      <w:r>
        <w:tab/>
      </w:r>
      <w:r>
        <w:fldChar w:fldCharType="begin"/>
      </w:r>
      <w:r>
        <w:instrText xml:space="preserve"> PAGEREF _Toc9005 \h </w:instrText>
      </w:r>
      <w:r>
        <w:fldChar w:fldCharType="separate"/>
      </w:r>
      <w:r>
        <w:t>18</w:t>
      </w:r>
      <w:r>
        <w:fldChar w:fldCharType="end"/>
      </w:r>
    </w:p>
    <w:p w14:paraId="6ECBE80D">
      <w:pPr>
        <w:pStyle w:val="27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.3.1.2.2.1 </w:t>
      </w:r>
      <w:r>
        <w:rPr>
          <w:rFonts w:hint="eastAsia"/>
          <w:rtl w:val="0"/>
          <w:lang w:val="en-US" w:eastAsia="zh-CN"/>
        </w:rPr>
        <w:t>内外部项目和下发</w:t>
      </w:r>
      <w:r>
        <w:tab/>
      </w:r>
      <w:r>
        <w:fldChar w:fldCharType="begin"/>
      </w:r>
      <w:r>
        <w:instrText xml:space="preserve"> PAGEREF _Toc21239 \h </w:instrText>
      </w:r>
      <w:r>
        <w:fldChar w:fldCharType="separate"/>
      </w:r>
      <w:r>
        <w:t>22</w:t>
      </w:r>
      <w:r>
        <w:fldChar w:fldCharType="end"/>
      </w:r>
    </w:p>
    <w:p w14:paraId="64063CDE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3.1.3 </w:t>
      </w:r>
      <w:r>
        <w:rPr>
          <w:rFonts w:hint="eastAsia"/>
          <w:rtl w:val="0"/>
          <w:lang w:val="en-US" w:eastAsia="zh-CN"/>
        </w:rPr>
        <w:t>项目库</w:t>
      </w:r>
      <w:r>
        <w:tab/>
      </w:r>
      <w:r>
        <w:fldChar w:fldCharType="begin"/>
      </w:r>
      <w:r>
        <w:instrText xml:space="preserve"> PAGEREF _Toc20694 \h </w:instrText>
      </w:r>
      <w:r>
        <w:fldChar w:fldCharType="separate"/>
      </w:r>
      <w:r>
        <w:t>22</w:t>
      </w:r>
      <w:r>
        <w:fldChar w:fldCharType="end"/>
      </w:r>
    </w:p>
    <w:p w14:paraId="760C4B9D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3.1.4 </w:t>
      </w:r>
      <w:r>
        <w:rPr>
          <w:rFonts w:hint="eastAsia"/>
          <w:rtl w:val="0"/>
          <w:lang w:val="en-US" w:eastAsia="zh-CN"/>
        </w:rPr>
        <w:t>预算执行管理</w:t>
      </w:r>
      <w:r>
        <w:tab/>
      </w:r>
      <w:r>
        <w:fldChar w:fldCharType="begin"/>
      </w:r>
      <w:r>
        <w:instrText xml:space="preserve"> PAGEREF _Toc22774 \h </w:instrText>
      </w:r>
      <w:r>
        <w:fldChar w:fldCharType="separate"/>
      </w:r>
      <w:r>
        <w:t>24</w:t>
      </w:r>
      <w:r>
        <w:fldChar w:fldCharType="end"/>
      </w:r>
    </w:p>
    <w:p w14:paraId="7FC10EAC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3.1.4.1 </w:t>
      </w:r>
      <w:r>
        <w:rPr>
          <w:rFonts w:hint="eastAsia"/>
          <w:rtl w:val="0"/>
          <w:lang w:val="en-US" w:eastAsia="zh-CN"/>
        </w:rPr>
        <w:t>预算执行表</w:t>
      </w:r>
      <w:r>
        <w:tab/>
      </w:r>
      <w:r>
        <w:fldChar w:fldCharType="begin"/>
      </w:r>
      <w:r>
        <w:instrText xml:space="preserve"> PAGEREF _Toc32527 \h </w:instrText>
      </w:r>
      <w:r>
        <w:fldChar w:fldCharType="separate"/>
      </w:r>
      <w:r>
        <w:t>24</w:t>
      </w:r>
      <w:r>
        <w:fldChar w:fldCharType="end"/>
      </w:r>
    </w:p>
    <w:p w14:paraId="0C877F68">
      <w:pPr>
        <w:pStyle w:val="27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.3.1.4.1.1 </w:t>
      </w:r>
      <w:r>
        <w:rPr>
          <w:rFonts w:hint="eastAsia"/>
          <w:rtl w:val="0"/>
          <w:lang w:val="en-US" w:eastAsia="zh-CN"/>
        </w:rPr>
        <w:t>操作【数据同步】</w:t>
      </w:r>
      <w:r>
        <w:tab/>
      </w:r>
      <w:r>
        <w:fldChar w:fldCharType="begin"/>
      </w:r>
      <w:r>
        <w:instrText xml:space="preserve"> PAGEREF _Toc17995 \h </w:instrText>
      </w:r>
      <w:r>
        <w:fldChar w:fldCharType="separate"/>
      </w:r>
      <w:r>
        <w:t>27</w:t>
      </w:r>
      <w:r>
        <w:fldChar w:fldCharType="end"/>
      </w:r>
    </w:p>
    <w:p w14:paraId="26CB8F9B">
      <w:pPr>
        <w:pStyle w:val="27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.3.1.4.1.2 </w:t>
      </w:r>
      <w:r>
        <w:rPr>
          <w:rFonts w:hint="eastAsia"/>
          <w:rtl w:val="0"/>
          <w:lang w:val="en-US" w:eastAsia="zh-CN"/>
        </w:rPr>
        <w:t>操作【预算余额结转】</w:t>
      </w:r>
      <w:r>
        <w:tab/>
      </w:r>
      <w:r>
        <w:fldChar w:fldCharType="begin"/>
      </w:r>
      <w:r>
        <w:instrText xml:space="preserve"> PAGEREF _Toc9522 \h </w:instrText>
      </w:r>
      <w:r>
        <w:fldChar w:fldCharType="separate"/>
      </w:r>
      <w:r>
        <w:t>27</w:t>
      </w:r>
      <w:r>
        <w:fldChar w:fldCharType="end"/>
      </w:r>
    </w:p>
    <w:p w14:paraId="0B24681F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3.1.4.2 </w:t>
      </w:r>
      <w:r>
        <w:rPr>
          <w:rFonts w:hint="eastAsia"/>
          <w:rtl w:val="0"/>
          <w:lang w:val="en-US" w:eastAsia="zh-CN"/>
        </w:rPr>
        <w:t>预算追加追减</w:t>
      </w:r>
      <w:r>
        <w:tab/>
      </w:r>
      <w:r>
        <w:fldChar w:fldCharType="begin"/>
      </w:r>
      <w:r>
        <w:instrText xml:space="preserve"> PAGEREF _Toc1816 \h </w:instrText>
      </w:r>
      <w:r>
        <w:fldChar w:fldCharType="separate"/>
      </w:r>
      <w:r>
        <w:t>29</w:t>
      </w:r>
      <w:r>
        <w:fldChar w:fldCharType="end"/>
      </w:r>
    </w:p>
    <w:p w14:paraId="2AE7ECA1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3.1.4.3 </w:t>
      </w:r>
      <w:r>
        <w:rPr>
          <w:rFonts w:hint="eastAsia"/>
          <w:rtl w:val="0"/>
          <w:lang w:val="en-US" w:eastAsia="zh-CN"/>
        </w:rPr>
        <w:t>预算调剂</w:t>
      </w:r>
      <w:r>
        <w:tab/>
      </w:r>
      <w:r>
        <w:fldChar w:fldCharType="begin"/>
      </w:r>
      <w:r>
        <w:instrText xml:space="preserve"> PAGEREF _Toc20551 \h </w:instrText>
      </w:r>
      <w:r>
        <w:fldChar w:fldCharType="separate"/>
      </w:r>
      <w:r>
        <w:t>33</w:t>
      </w:r>
      <w:r>
        <w:fldChar w:fldCharType="end"/>
      </w:r>
    </w:p>
    <w:p w14:paraId="59C8E472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3.2 </w:t>
      </w:r>
      <w:r>
        <w:rPr>
          <w:rFonts w:hint="eastAsia" w:ascii="宋体" w:hAnsi="宋体" w:eastAsia="宋体" w:cs="宋体"/>
          <w:rtl w:val="0"/>
          <w:lang w:val="en-US" w:eastAsia="zh-CN"/>
        </w:rPr>
        <w:t>支出管理</w:t>
      </w:r>
      <w:r>
        <w:tab/>
      </w:r>
      <w:r>
        <w:fldChar w:fldCharType="begin"/>
      </w:r>
      <w:r>
        <w:instrText xml:space="preserve"> PAGEREF _Toc10251 \h </w:instrText>
      </w:r>
      <w:r>
        <w:fldChar w:fldCharType="separate"/>
      </w:r>
      <w:r>
        <w:t>38</w:t>
      </w:r>
      <w:r>
        <w:fldChar w:fldCharType="end"/>
      </w:r>
    </w:p>
    <w:p w14:paraId="6E029CA2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3.2.1 </w:t>
      </w:r>
      <w:r>
        <w:rPr>
          <w:rFonts w:hint="eastAsia"/>
          <w:rtl w:val="0"/>
          <w:lang w:val="en-US" w:eastAsia="zh-CN"/>
        </w:rPr>
        <w:t>业务员选择预算项目信息</w:t>
      </w:r>
      <w:r>
        <w:tab/>
      </w:r>
      <w:r>
        <w:fldChar w:fldCharType="begin"/>
      </w:r>
      <w:r>
        <w:instrText xml:space="preserve"> PAGEREF _Toc18167 \h </w:instrText>
      </w:r>
      <w:r>
        <w:fldChar w:fldCharType="separate"/>
      </w:r>
      <w:r>
        <w:t>38</w:t>
      </w:r>
      <w:r>
        <w:fldChar w:fldCharType="end"/>
      </w:r>
    </w:p>
    <w:p w14:paraId="2076E574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3.2.2 </w:t>
      </w:r>
      <w:r>
        <w:rPr>
          <w:rFonts w:hint="eastAsia"/>
          <w:rtl w:val="0"/>
          <w:lang w:val="en-US" w:eastAsia="zh-CN"/>
        </w:rPr>
        <w:t>财务审核单据</w:t>
      </w:r>
      <w:r>
        <w:tab/>
      </w:r>
      <w:r>
        <w:fldChar w:fldCharType="begin"/>
      </w:r>
      <w:r>
        <w:instrText xml:space="preserve"> PAGEREF _Toc30458 \h </w:instrText>
      </w:r>
      <w:r>
        <w:fldChar w:fldCharType="separate"/>
      </w:r>
      <w:r>
        <w:t>39</w:t>
      </w:r>
      <w:r>
        <w:fldChar w:fldCharType="end"/>
      </w:r>
    </w:p>
    <w:p w14:paraId="5C9250D2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3.3 </w:t>
      </w:r>
      <w:r>
        <w:rPr>
          <w:rFonts w:hint="eastAsia" w:ascii="宋体" w:hAnsi="宋体" w:eastAsia="宋体" w:cs="宋体"/>
          <w:rtl w:val="0"/>
          <w:lang w:val="en-US" w:eastAsia="zh-CN"/>
        </w:rPr>
        <w:t>运营机构后台</w:t>
      </w:r>
      <w:r>
        <w:tab/>
      </w:r>
      <w:r>
        <w:fldChar w:fldCharType="begin"/>
      </w:r>
      <w:r>
        <w:instrText xml:space="preserve"> PAGEREF _Toc594 \h </w:instrText>
      </w:r>
      <w:r>
        <w:fldChar w:fldCharType="separate"/>
      </w:r>
      <w:r>
        <w:t>40</w:t>
      </w:r>
      <w:r>
        <w:fldChar w:fldCharType="end"/>
      </w:r>
    </w:p>
    <w:p w14:paraId="7E511100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3.3.1 </w:t>
      </w:r>
      <w:r>
        <w:rPr>
          <w:rFonts w:hint="eastAsia"/>
          <w:rtl w:val="0"/>
          <w:lang w:val="en-US" w:eastAsia="zh-CN"/>
        </w:rPr>
        <w:t>预算项目控制</w:t>
      </w:r>
      <w:r>
        <w:tab/>
      </w:r>
      <w:r>
        <w:fldChar w:fldCharType="begin"/>
      </w:r>
      <w:r>
        <w:instrText xml:space="preserve"> PAGEREF _Toc2322 \h </w:instrText>
      </w:r>
      <w:r>
        <w:fldChar w:fldCharType="separate"/>
      </w:r>
      <w:r>
        <w:t>40</w:t>
      </w:r>
      <w:r>
        <w:fldChar w:fldCharType="end"/>
      </w:r>
    </w:p>
    <w:p w14:paraId="3CB9F1BE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Hans"/>
        </w:rPr>
        <w:t xml:space="preserve">3.3.2 </w:t>
      </w:r>
      <w:r>
        <w:rPr>
          <w:rFonts w:hint="eastAsia"/>
          <w:rtl w:val="0"/>
          <w:lang w:val="en-US" w:eastAsia="zh-CN"/>
        </w:rPr>
        <w:t>预算项目使用范围控制</w:t>
      </w:r>
      <w:r>
        <w:tab/>
      </w:r>
      <w:r>
        <w:fldChar w:fldCharType="begin"/>
      </w:r>
      <w:r>
        <w:instrText xml:space="preserve"> PAGEREF _Toc18852 \h </w:instrText>
      </w:r>
      <w:r>
        <w:fldChar w:fldCharType="separate"/>
      </w:r>
      <w:r>
        <w:t>40</w:t>
      </w:r>
      <w:r>
        <w:fldChar w:fldCharType="end"/>
      </w:r>
    </w:p>
    <w:p w14:paraId="062D183A">
      <w:pPr>
        <w:pStyle w:val="2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4 </w:t>
      </w:r>
      <w:r>
        <w:rPr>
          <w:rFonts w:hint="eastAsia" w:ascii="宋体" w:hAnsi="宋体" w:eastAsia="宋体" w:cs="宋体"/>
          <w:rtl w:val="0"/>
          <w:lang w:val="en-US" w:eastAsia="zh-CN"/>
        </w:rPr>
        <w:t>非功能需求和其他</w:t>
      </w:r>
      <w:r>
        <w:rPr>
          <w:rFonts w:hint="eastAsia" w:ascii="宋体" w:hAnsi="宋体" w:eastAsia="宋体" w:cs="宋体"/>
          <w:rtl w:val="0"/>
          <w:lang w:val="zh-TW" w:eastAsia="zh-CN"/>
        </w:rPr>
        <w:t>说明</w:t>
      </w:r>
      <w:r>
        <w:tab/>
      </w:r>
      <w:r>
        <w:fldChar w:fldCharType="begin"/>
      </w:r>
      <w:r>
        <w:instrText xml:space="preserve"> PAGEREF _Toc23529 \h </w:instrText>
      </w:r>
      <w:r>
        <w:fldChar w:fldCharType="separate"/>
      </w:r>
      <w:r>
        <w:t>42</w:t>
      </w:r>
      <w:r>
        <w:fldChar w:fldCharType="end"/>
      </w:r>
    </w:p>
    <w:p w14:paraId="656B5234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4.1 性能需求</w:t>
      </w:r>
      <w:r>
        <w:tab/>
      </w:r>
      <w:r>
        <w:fldChar w:fldCharType="begin"/>
      </w:r>
      <w:r>
        <w:instrText xml:space="preserve"> PAGEREF _Toc29148 \h </w:instrText>
      </w:r>
      <w:r>
        <w:fldChar w:fldCharType="separate"/>
      </w:r>
      <w:r>
        <w:t>42</w:t>
      </w:r>
      <w:r>
        <w:fldChar w:fldCharType="end"/>
      </w:r>
    </w:p>
    <w:p w14:paraId="53E273A1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4.2 安全需求</w:t>
      </w:r>
      <w:r>
        <w:tab/>
      </w:r>
      <w:r>
        <w:fldChar w:fldCharType="begin"/>
      </w:r>
      <w:r>
        <w:instrText xml:space="preserve"> PAGEREF _Toc12207 \h </w:instrText>
      </w:r>
      <w:r>
        <w:fldChar w:fldCharType="separate"/>
      </w:r>
      <w:r>
        <w:t>42</w:t>
      </w:r>
      <w:r>
        <w:fldChar w:fldCharType="end"/>
      </w:r>
    </w:p>
    <w:p w14:paraId="46470A2C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4.3 兼容性需求</w:t>
      </w:r>
      <w:r>
        <w:tab/>
      </w:r>
      <w:r>
        <w:fldChar w:fldCharType="begin"/>
      </w:r>
      <w:r>
        <w:instrText xml:space="preserve"> PAGEREF _Toc1373 \h </w:instrText>
      </w:r>
      <w:r>
        <w:fldChar w:fldCharType="separate"/>
      </w:r>
      <w:r>
        <w:t>42</w:t>
      </w:r>
      <w:r>
        <w:fldChar w:fldCharType="end"/>
      </w:r>
    </w:p>
    <w:p w14:paraId="4244C58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4.4 相关文档需求</w:t>
      </w:r>
      <w:r>
        <w:tab/>
      </w:r>
      <w:r>
        <w:fldChar w:fldCharType="begin"/>
      </w:r>
      <w:r>
        <w:instrText xml:space="preserve"> PAGEREF _Toc27728 \h </w:instrText>
      </w:r>
      <w:r>
        <w:fldChar w:fldCharType="separate"/>
      </w:r>
      <w:r>
        <w:t>42</w:t>
      </w:r>
      <w:r>
        <w:fldChar w:fldCharType="end"/>
      </w:r>
    </w:p>
    <w:p w14:paraId="72BF7FA1">
      <w:pPr>
        <w:jc w:val="center"/>
      </w:pPr>
      <w:r>
        <w:fldChar w:fldCharType="end"/>
      </w:r>
    </w:p>
    <w:p w14:paraId="260C1854">
      <w:r>
        <w:br w:type="page"/>
      </w:r>
    </w:p>
    <w:p w14:paraId="3C49E893">
      <w:pPr>
        <w:pStyle w:val="4"/>
        <w:bidi w:val="0"/>
        <w:ind w:left="576" w:leftChars="0" w:hanging="576" w:firstLineChars="0"/>
        <w:rPr>
          <w:rFonts w:hint="eastAsia" w:ascii="宋体" w:hAnsi="宋体" w:eastAsia="宋体" w:cs="宋体"/>
          <w:b/>
          <w:bCs/>
          <w:rtl w:val="0"/>
          <w:lang w:val="zh-TW" w:eastAsia="zh-TW"/>
        </w:rPr>
      </w:pPr>
      <w:bookmarkStart w:id="0" w:name="_Toc26611"/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概述</w:t>
      </w:r>
      <w:bookmarkEnd w:id="0"/>
    </w:p>
    <w:p w14:paraId="62308109">
      <w:pPr>
        <w:pStyle w:val="5"/>
        <w:bidi w:val="0"/>
        <w:ind w:left="720" w:leftChars="0" w:hanging="720" w:firstLineChars="0"/>
        <w:rPr>
          <w:rFonts w:hint="eastAsia" w:ascii="宋体" w:hAnsi="宋体" w:eastAsia="宋体" w:cs="宋体"/>
        </w:rPr>
        <w:sectPr>
          <w:headerReference r:id="rId8" w:type="first"/>
          <w:headerReference r:id="rId7" w:type="default"/>
          <w:footerReference r:id="rId9" w:type="default"/>
          <w:footerReference r:id="rId10" w:type="even"/>
          <w:pgSz w:w="11906" w:h="16838"/>
          <w:pgMar w:top="1571" w:right="1588" w:bottom="1440" w:left="1588" w:header="777" w:footer="896" w:gutter="284"/>
          <w:pgNumType w:start="0"/>
          <w:cols w:space="425" w:num="1"/>
          <w:titlePg/>
          <w:docGrid w:type="lines" w:linePitch="326" w:charSpace="0"/>
        </w:sectPr>
      </w:pPr>
      <w:bookmarkStart w:id="1" w:name="_Toc29623"/>
      <w:r>
        <w:rPr>
          <w:rFonts w:hint="eastAsia" w:ascii="宋体" w:hAnsi="宋体" w:eastAsia="宋体" w:cs="宋体"/>
          <w:rtl w:val="0"/>
          <w:lang w:val="en-US" w:eastAsia="zh-CN"/>
        </w:rPr>
        <w:t>项目</w:t>
      </w:r>
      <w:r>
        <w:rPr>
          <w:rFonts w:hint="eastAsia" w:ascii="宋体" w:hAnsi="宋体" w:eastAsia="宋体" w:cs="宋体"/>
          <w:rtl w:val="0"/>
          <w:lang w:val="zh-TW" w:eastAsia="zh-TW"/>
        </w:rPr>
        <w:t>概述及目标</w:t>
      </w:r>
      <w:bookmarkEnd w:id="1"/>
    </w:p>
    <w:p w14:paraId="1A03F77F">
      <w:pPr>
        <w:pStyle w:val="6"/>
        <w:bidi w:val="0"/>
        <w:ind w:left="864" w:leftChars="0" w:hanging="864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2" w:name="_Toc6213"/>
      <w:r>
        <w:rPr>
          <w:rFonts w:hint="eastAsia" w:ascii="宋体" w:hAnsi="宋体" w:eastAsia="宋体" w:cs="宋体"/>
          <w:rtl w:val="0"/>
          <w:lang w:val="en-US" w:eastAsia="zh-CN"/>
        </w:rPr>
        <w:t>项目</w:t>
      </w:r>
      <w:r>
        <w:rPr>
          <w:rFonts w:hint="eastAsia" w:ascii="宋体" w:hAnsi="宋体" w:eastAsia="宋体" w:cs="宋体"/>
          <w:rtl w:val="0"/>
          <w:lang w:val="zh-TW" w:eastAsia="zh-TW"/>
        </w:rPr>
        <w:t>背景</w:t>
      </w:r>
      <w:bookmarkEnd w:id="2"/>
    </w:p>
    <w:p w14:paraId="36CD7D37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文旅厅是由财政全额保障，需按照“预算管理”和“国库集中支付”支付执行，无预算不支出。按照《浙江省2026年省级部门预算编制指南》需要对预算加强统筹管控，落实习惯过紧日子，深化零基预算改革，加强预算绩效管理，健全预算管理链条等方面的措施，文旅厅提出预算管理的项目需求。</w:t>
      </w:r>
    </w:p>
    <w:p w14:paraId="6C75D6F2">
      <w:pPr>
        <w:pStyle w:val="6"/>
        <w:bidi w:val="0"/>
        <w:ind w:left="864" w:leftChars="0" w:hanging="864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3" w:name="_Toc8444"/>
      <w:r>
        <w:rPr>
          <w:rFonts w:hint="eastAsia" w:ascii="宋体" w:hAnsi="宋体" w:eastAsia="宋体" w:cs="宋体"/>
          <w:rtl w:val="0"/>
          <w:lang w:val="en-US" w:eastAsia="zh-CN"/>
        </w:rPr>
        <w:t>项目</w:t>
      </w:r>
      <w:r>
        <w:rPr>
          <w:rFonts w:hint="eastAsia" w:ascii="宋体" w:hAnsi="宋体" w:eastAsia="宋体" w:cs="宋体"/>
          <w:rtl w:val="0"/>
          <w:lang w:val="zh-TW" w:eastAsia="zh-TW"/>
        </w:rPr>
        <w:t>目标</w:t>
      </w:r>
      <w:bookmarkEnd w:id="3"/>
    </w:p>
    <w:p w14:paraId="0D4E6BDF">
      <w:pPr>
        <w:numPr>
          <w:ilvl w:val="0"/>
          <w:numId w:val="2"/>
        </w:numPr>
        <w:bidi w:val="0"/>
        <w:rPr>
          <w:rFonts w:hint="eastAsia"/>
          <w:rtl w:val="0"/>
          <w:lang w:val="en-US" w:eastAsia="zh-CN"/>
        </w:rPr>
      </w:pPr>
      <w:bookmarkStart w:id="4" w:name="_Toc926588036"/>
      <w:r>
        <w:rPr>
          <w:rFonts w:hint="eastAsia"/>
          <w:rtl w:val="0"/>
          <w:lang w:val="en-US" w:eastAsia="zh-CN"/>
        </w:rPr>
        <w:t>预算项目申报全流程管理</w:t>
      </w:r>
    </w:p>
    <w:p w14:paraId="7F824719">
      <w:pPr>
        <w:numPr>
          <w:ilvl w:val="0"/>
          <w:numId w:val="2"/>
        </w:numPr>
        <w:bidi w:val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预算执行过程追加追减和调剂管理</w:t>
      </w:r>
    </w:p>
    <w:p w14:paraId="691CEBE2">
      <w:pPr>
        <w:numPr>
          <w:ilvl w:val="0"/>
          <w:numId w:val="2"/>
        </w:numPr>
        <w:bidi w:val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历史预算项目余额结转闭环</w:t>
      </w:r>
    </w:p>
    <w:p w14:paraId="67DC68E5">
      <w:pPr>
        <w:numPr>
          <w:ilvl w:val="0"/>
          <w:numId w:val="2"/>
        </w:numPr>
        <w:bidi w:val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支出场景报销单预算精细化管理</w:t>
      </w:r>
    </w:p>
    <w:p w14:paraId="1AA4BE40">
      <w:pPr>
        <w:numPr>
          <w:ilvl w:val="0"/>
          <w:numId w:val="2"/>
        </w:numPr>
        <w:bidi w:val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支出场景报销单内外部项目映射</w:t>
      </w:r>
    </w:p>
    <w:bookmarkEnd w:id="4"/>
    <w:p w14:paraId="5F7EF670">
      <w:pPr>
        <w:pStyle w:val="4"/>
        <w:bidi w:val="0"/>
        <w:ind w:left="576" w:leftChars="0" w:hanging="576" w:firstLineChars="0"/>
        <w:rPr>
          <w:rFonts w:hint="eastAsia" w:ascii="宋体" w:hAnsi="宋体" w:eastAsia="宋体" w:cs="宋体"/>
        </w:rPr>
      </w:pPr>
      <w:bookmarkStart w:id="5" w:name="_Toc31207"/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功能需求</w:t>
      </w:r>
      <w:bookmarkEnd w:id="5"/>
    </w:p>
    <w:p w14:paraId="5CFA1C23">
      <w:pPr>
        <w:pStyle w:val="5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6" w:name="_Toc21346"/>
      <w:r>
        <w:rPr>
          <w:rFonts w:hint="eastAsia" w:ascii="宋体" w:hAnsi="宋体" w:eastAsia="宋体" w:cs="宋体"/>
          <w:rtl w:val="0"/>
          <w:lang w:val="zh-TW" w:eastAsia="zh-CN"/>
        </w:rPr>
        <w:t>整体实现思路</w:t>
      </w:r>
      <w:bookmarkEnd w:id="6"/>
    </w:p>
    <w:p w14:paraId="5BD01E7C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bookmarkStart w:id="7" w:name="image.png"/>
      <w:bookmarkEnd w:id="7"/>
      <w:r>
        <w:drawing>
          <wp:inline distT="0" distB="0" distL="114300" distR="114300">
            <wp:extent cx="5356225" cy="3400425"/>
            <wp:effectExtent l="0" t="0" r="8255" b="13335"/>
            <wp:docPr id="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8159">
      <w:pPr>
        <w:widowControl w:val="0"/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年中：进行下一年的项目预算申报，完成内部审批</w:t>
      </w:r>
    </w:p>
    <w:p w14:paraId="366F47A0">
      <w:pPr>
        <w:widowControl w:val="0"/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下一年1月：一体化预算批复后，财务修改预算项目申报内容，转为外部项目，内部预算下发，内部预算下发后，业务员在报销时可使用内部预算项目</w:t>
      </w:r>
    </w:p>
    <w:p w14:paraId="3C6821E6">
      <w:pPr>
        <w:widowControl w:val="0"/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再下一年年初，针对上一年还有余额的预算项目金额进行结转，结转的数据流入预算执行表（即不需要审核和下发操作），结转的项目可在报销时被使用，且创建与一体化指标的关系（根据指标类型区分是新建还是结算的指标）</w:t>
      </w:r>
    </w:p>
    <w:p w14:paraId="54F98E7B">
      <w:pPr>
        <w:pStyle w:val="5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8" w:name="_Toc8679"/>
      <w:r>
        <w:rPr>
          <w:rFonts w:hint="eastAsia" w:ascii="宋体" w:hAnsi="宋体" w:eastAsia="宋体" w:cs="宋体"/>
          <w:rtl w:val="0"/>
          <w:lang w:val="zh-TW" w:eastAsia="zh-CN"/>
        </w:rPr>
        <w:t>数据关系图</w:t>
      </w:r>
      <w:bookmarkEnd w:id="8"/>
    </w:p>
    <w:p w14:paraId="31A9F991"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356860" cy="3619500"/>
            <wp:effectExtent l="0" t="0" r="762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0110">
      <w:pPr>
        <w:rPr>
          <w:rFonts w:hint="eastAsia"/>
          <w:lang w:eastAsia="zh-CN"/>
        </w:rPr>
      </w:pPr>
    </w:p>
    <w:p w14:paraId="479C2755">
      <w:pPr>
        <w:pStyle w:val="5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9" w:name="_Toc20072"/>
      <w:r>
        <w:rPr>
          <w:rFonts w:hint="eastAsia" w:ascii="宋体" w:hAnsi="宋体" w:eastAsia="宋体" w:cs="宋体"/>
          <w:rtl w:val="0"/>
          <w:lang w:val="zh-TW" w:eastAsia="zh-CN"/>
        </w:rPr>
        <w:t>页面层级图</w:t>
      </w:r>
      <w:bookmarkEnd w:id="9"/>
    </w:p>
    <w:p w14:paraId="287ABA29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zh-TW" w:eastAsia="zh-CN"/>
        </w:rPr>
        <w:t>（</w:t>
      </w:r>
      <w:r>
        <w:rPr>
          <w:rFonts w:hint="eastAsia"/>
          <w:rtl w:val="0"/>
          <w:lang w:val="en-US" w:eastAsia="zh-CN"/>
        </w:rPr>
        <w:t>菜单和角色）</w:t>
      </w:r>
    </w:p>
    <w:p w14:paraId="4D607EA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drawing>
          <wp:inline distT="0" distB="0" distL="114300" distR="114300">
            <wp:extent cx="4785360" cy="2339340"/>
            <wp:effectExtent l="0" t="0" r="0" b="7620"/>
            <wp:docPr id="4" name="E657119C-6982-421D-8BA7-E74DEB70A7D9-1" descr="C:/Users/zcy/AppData/Local/Temp/wps.mUXEp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657119C-6982-421D-8BA7-E74DEB70A7D9-1" descr="C:/Users/zcy/AppData/Local/Temp/wps.mUXEpBw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A367">
      <w:pPr>
        <w:rPr>
          <w:rFonts w:hint="default"/>
          <w:rtl w:val="0"/>
          <w:lang w:val="en-US" w:eastAsia="zh-CN"/>
        </w:rPr>
      </w:pPr>
    </w:p>
    <w:p w14:paraId="39E55C1A">
      <w:pPr>
        <w:pStyle w:val="5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10" w:name="_Toc17894"/>
      <w:r>
        <w:rPr>
          <w:rFonts w:hint="eastAsia" w:ascii="宋体" w:hAnsi="宋体" w:eastAsia="宋体" w:cs="宋体"/>
          <w:rtl w:val="0"/>
          <w:lang w:val="zh-TW" w:eastAsia="zh-CN"/>
        </w:rPr>
        <w:t>术语和名称</w:t>
      </w:r>
      <w:bookmarkEnd w:id="10"/>
    </w:p>
    <w:p w14:paraId="3EACA453">
      <w:pPr>
        <w:numPr>
          <w:ilvl w:val="0"/>
          <w:numId w:val="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资金性质：事项支出的资金说明，可分为一般公共预算资金、一般债券、政府性基金预算资金、专用债券、国有资本经营预算资金、财政专户管理资金、事业收入、事业单位经营收入、其他收入。目前在系统仅做金额划分和展示</w:t>
      </w:r>
    </w:p>
    <w:p w14:paraId="7F3A8C98">
      <w:pPr>
        <w:numPr>
          <w:ilvl w:val="0"/>
          <w:numId w:val="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资金来源：对项目设置资金来源，如项目资金、财政资金、自有资金等，允许自定义设置，目前在系统仅做数据展示</w:t>
      </w:r>
    </w:p>
    <w:p w14:paraId="4541E03F">
      <w:pPr>
        <w:numPr>
          <w:ilvl w:val="0"/>
          <w:numId w:val="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项目金额：一个项目可能跨年，项目金额是所有年份的项目本身总金额</w:t>
      </w:r>
    </w:p>
    <w:p w14:paraId="6ACCE9EE">
      <w:pPr>
        <w:numPr>
          <w:ilvl w:val="0"/>
          <w:numId w:val="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当年预算项目金额：一个3年项目，需要每年制定预算，因此产生当年预算项目金额，在申报过程中，会基于当年编报的事项汇总成为预算金额</w:t>
      </w:r>
    </w:p>
    <w:p w14:paraId="20C7BAEA">
      <w:pPr>
        <w:rPr>
          <w:rFonts w:hint="default"/>
          <w:rtl w:val="0"/>
          <w:lang w:val="en-US" w:eastAsia="zh-CN"/>
        </w:rPr>
      </w:pPr>
    </w:p>
    <w:p w14:paraId="4B4B19B6">
      <w:pPr>
        <w:pStyle w:val="4"/>
        <w:bidi w:val="0"/>
        <w:ind w:left="576" w:leftChars="0" w:hanging="576" w:firstLineChars="0"/>
        <w:rPr>
          <w:rFonts w:hint="eastAsia" w:ascii="宋体" w:hAnsi="宋体" w:eastAsia="宋体" w:cs="宋体"/>
        </w:rPr>
      </w:pPr>
      <w:bookmarkStart w:id="11" w:name="_Toc22745"/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功能需求</w:t>
      </w:r>
      <w:bookmarkEnd w:id="11"/>
    </w:p>
    <w:p w14:paraId="000D9A14">
      <w:pPr>
        <w:pStyle w:val="5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12" w:name="_Toc8813"/>
      <w:r>
        <w:rPr>
          <w:rFonts w:hint="eastAsia" w:ascii="宋体" w:hAnsi="宋体" w:eastAsia="宋体" w:cs="宋体"/>
          <w:rtl w:val="0"/>
          <w:lang w:val="en-US" w:eastAsia="zh-CN"/>
        </w:rPr>
        <w:t>预算管理</w:t>
      </w:r>
      <w:bookmarkEnd w:id="12"/>
    </w:p>
    <w:p w14:paraId="1B630AA7">
      <w:pPr>
        <w:pStyle w:val="6"/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13" w:name="_Toc12893"/>
      <w:r>
        <w:rPr>
          <w:rFonts w:hint="eastAsia"/>
          <w:rtl w:val="0"/>
          <w:lang w:val="en-US" w:eastAsia="zh-CN"/>
        </w:rPr>
        <w:t>预算配置管理</w:t>
      </w:r>
      <w:bookmarkEnd w:id="13"/>
    </w:p>
    <w:p w14:paraId="4ECDCF27">
      <w:pPr>
        <w:pStyle w:val="7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14" w:name="_Toc8378"/>
      <w:r>
        <w:rPr>
          <w:rFonts w:hint="eastAsia"/>
          <w:rtl w:val="0"/>
          <w:lang w:val="en-US" w:eastAsia="zh-CN"/>
        </w:rPr>
        <w:t>预算项目</w:t>
      </w:r>
      <w:bookmarkEnd w:id="14"/>
    </w:p>
    <w:p w14:paraId="0B628E5A">
      <w:pPr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系统会根据项目库数据，自动创建对应年份的预算项目，以便于追加追减和调剂时可选择到预算项目</w:t>
      </w:r>
    </w:p>
    <w:p w14:paraId="4C6B046D">
      <w:pPr>
        <w:pStyle w:val="7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15" w:name="_Toc3719"/>
      <w:r>
        <w:rPr>
          <w:rFonts w:hint="eastAsia"/>
          <w:rtl w:val="0"/>
          <w:lang w:val="en-US" w:eastAsia="zh-CN"/>
        </w:rPr>
        <w:t>预算科目</w:t>
      </w:r>
      <w:bookmarkEnd w:id="15"/>
    </w:p>
    <w:p w14:paraId="6D34132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目前有年度的科目概念，保证每年有一份预算科目数据，科目可结转，即继承上一年的科目编码、科目名称和计算规则等。</w:t>
      </w:r>
    </w:p>
    <w:p w14:paraId="7F2C2A98">
      <w:r>
        <w:drawing>
          <wp:inline distT="0" distB="0" distL="114300" distR="114300">
            <wp:extent cx="5353685" cy="1447165"/>
            <wp:effectExtent l="0" t="0" r="10795" b="635"/>
            <wp:docPr id="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E2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筛选：</w:t>
      </w:r>
    </w:p>
    <w:p w14:paraId="0B4A1C97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预算年度：默认当年</w:t>
      </w:r>
    </w:p>
    <w:p w14:paraId="1B91B93B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科目类别：默认空，支持从设置的类别中选择</w:t>
      </w:r>
    </w:p>
    <w:p w14:paraId="30E64DF1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科目编码：默认空，支持精确搜索</w:t>
      </w:r>
    </w:p>
    <w:p w14:paraId="3B3A6923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科目名称：默认空，支持精确搜索</w:t>
      </w:r>
    </w:p>
    <w:p w14:paraId="5E30EA45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备注：默认空，支持模糊搜索</w:t>
      </w:r>
    </w:p>
    <w:p w14:paraId="4D63BBD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47980C8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列表：</w:t>
      </w:r>
    </w:p>
    <w:p w14:paraId="47494CDF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展示多级科目列表信息，按照创建时间以及更新时间正序排列</w:t>
      </w:r>
    </w:p>
    <w:p w14:paraId="3E5BE5D3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科目编码：</w:t>
      </w:r>
    </w:p>
    <w:p w14:paraId="441F50EC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科目名称</w:t>
      </w:r>
    </w:p>
    <w:p w14:paraId="25121DC2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科目类别：</w:t>
      </w:r>
    </w:p>
    <w:p w14:paraId="7E862B07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71BF8117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创建时间：年月日时分</w:t>
      </w:r>
    </w:p>
    <w:p w14:paraId="3A1B570D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操作：添加下级</w:t>
      </w:r>
    </w:p>
    <w:p w14:paraId="45F136D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——添加下级：默认带入上级科目信息，删除上级则为一级</w:t>
      </w:r>
    </w:p>
    <w:p w14:paraId="7CB75BD9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预算年度：默认当年，不可调整</w:t>
      </w:r>
    </w:p>
    <w:p w14:paraId="0AB9D2C3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科目编码：必填，对应年度的科目编码不允许</w:t>
      </w:r>
    </w:p>
    <w:p w14:paraId="4F2EDA84">
      <w:pPr>
        <w:widowControl w:val="0"/>
        <w:numPr>
          <w:ilvl w:val="0"/>
          <w:numId w:val="0"/>
        </w:numPr>
        <w:spacing w:line="360" w:lineRule="auto"/>
        <w:ind w:leftChars="0"/>
        <w:jc w:val="both"/>
      </w:pPr>
      <w:r>
        <w:drawing>
          <wp:inline distT="0" distB="0" distL="114300" distR="114300">
            <wp:extent cx="5361305" cy="1207135"/>
            <wp:effectExtent l="0" t="0" r="3175" b="12065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C7A1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科目名称：必填，名称允许重复</w:t>
      </w:r>
    </w:p>
    <w:p w14:paraId="45DF5608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上级科目：非必填，可选择现有的不同层级的科目信息</w:t>
      </w:r>
    </w:p>
    <w:p w14:paraId="356EE72F">
      <w:pPr>
        <w:widowControl w:val="0"/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科目类型：必填，从设置的科目类别中选择</w:t>
      </w:r>
    </w:p>
    <w:p w14:paraId="45AEE07F">
      <w:pPr>
        <w:rPr>
          <w:rFonts w:hint="default"/>
          <w:rtl w:val="0"/>
          <w:lang w:val="en-US" w:eastAsia="zh-Hans"/>
        </w:rPr>
      </w:pPr>
    </w:p>
    <w:p w14:paraId="4F5A18D3">
      <w:pPr>
        <w:pStyle w:val="7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16" w:name="_Toc8225"/>
      <w:r>
        <w:rPr>
          <w:rFonts w:hint="eastAsia"/>
          <w:rtl w:val="0"/>
          <w:lang w:val="en-US" w:eastAsia="zh-CN"/>
        </w:rPr>
        <w:t>费用项管理</w:t>
      </w:r>
      <w:bookmarkEnd w:id="16"/>
    </w:p>
    <w:p w14:paraId="151977EB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费用项相当于预算项目的子集，预算填报时可按照</w:t>
      </w:r>
      <w:r>
        <w:rPr>
          <w:rFonts w:hint="eastAsia"/>
          <w:u w:val="single"/>
          <w:rtl w:val="0"/>
          <w:lang w:val="en-US" w:eastAsia="zh-CN"/>
        </w:rPr>
        <w:t>预算项目+科目+金额</w:t>
      </w:r>
      <w:r>
        <w:rPr>
          <w:rFonts w:hint="eastAsia"/>
          <w:rtl w:val="0"/>
          <w:lang w:val="en-US" w:eastAsia="zh-CN"/>
        </w:rPr>
        <w:t>方式填报，也可以按照</w:t>
      </w:r>
      <w:r>
        <w:rPr>
          <w:rFonts w:hint="eastAsia"/>
          <w:u w:val="single"/>
          <w:rtl w:val="0"/>
          <w:lang w:val="en-US" w:eastAsia="zh-CN"/>
        </w:rPr>
        <w:t>预算项目+事项+费用项+科目+金额</w:t>
      </w:r>
      <w:r>
        <w:rPr>
          <w:rFonts w:hint="eastAsia"/>
          <w:rtl w:val="0"/>
          <w:lang w:val="en-US" w:eastAsia="zh-CN"/>
        </w:rPr>
        <w:t>的方式填报，因此需要设置事项中规则，方便填报时引用。例如每人每天的住宿费1000元，这个是一个费用项标准，预算时可引用该标准，输入人数和天数自动计算金额</w:t>
      </w:r>
    </w:p>
    <w:p w14:paraId="607099D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目前仅在新项目申报中可使用费用项（文旅厅的预算填报模式）</w:t>
      </w:r>
    </w:p>
    <w:p w14:paraId="585A7B8F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筛选栏：</w:t>
      </w:r>
    </w:p>
    <w:p w14:paraId="41771A28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年度：默认当前年份</w:t>
      </w:r>
    </w:p>
    <w:p w14:paraId="57C5448D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费用项名称：默认空，支持模糊搜索</w:t>
      </w:r>
    </w:p>
    <w:p w14:paraId="7843FC6C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关联科目：</w:t>
      </w:r>
    </w:p>
    <w:p w14:paraId="7FB5B459">
      <w:pPr>
        <w:numPr>
          <w:ilvl w:val="0"/>
          <w:numId w:val="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是否纳入标准：选择是或是否</w:t>
      </w:r>
    </w:p>
    <w:p w14:paraId="510181CF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列表：</w:t>
      </w:r>
    </w:p>
    <w:p w14:paraId="34B05039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费用项名称</w:t>
      </w:r>
    </w:p>
    <w:p w14:paraId="2E4EF3CB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关联科目</w:t>
      </w:r>
    </w:p>
    <w:p w14:paraId="7C98EA74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是否纳入标准</w:t>
      </w:r>
    </w:p>
    <w:p w14:paraId="7578E334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计量单位1</w:t>
      </w:r>
    </w:p>
    <w:p w14:paraId="43542613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计量单位2</w:t>
      </w:r>
    </w:p>
    <w:p w14:paraId="7D1C2C70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资金标准</w:t>
      </w:r>
    </w:p>
    <w:p w14:paraId="62033A73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</w:t>
      </w:r>
    </w:p>
    <w:p w14:paraId="2BBFCA57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55590" cy="1434465"/>
            <wp:effectExtent l="0" t="0" r="8890" b="13335"/>
            <wp:docPr id="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204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操作：新增费用项和导入</w:t>
      </w:r>
    </w:p>
    <w:p w14:paraId="3F4DBC80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——新增费用项，弹窗如下</w:t>
      </w:r>
    </w:p>
    <w:p w14:paraId="37A6679C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预算年度：默认当年，必填，可切换其他年份</w:t>
      </w:r>
    </w:p>
    <w:p w14:paraId="0195919E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费用项名称：必填</w:t>
      </w:r>
    </w:p>
    <w:p w14:paraId="1512341F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是否纳入标准：必填</w:t>
      </w:r>
    </w:p>
    <w:p w14:paraId="782462C0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金额标准：当“是否纳入标准=是”则，金额必填，计量单位1必填；否则当选择金额标准非必填，计量单位1非必填</w:t>
      </w:r>
    </w:p>
    <w:p w14:paraId="04F13B0D">
      <w:pPr>
        <w:numPr>
          <w:ilvl w:val="0"/>
          <w:numId w:val="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计量单位1：比如住宿费的标准，每人每天500元，则计量单位1填“人”，计量单位2填“天”，后期再填报时会自动计算对应人*天*金额得到预算金额</w:t>
      </w:r>
    </w:p>
    <w:p w14:paraId="0BC31EFA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计量单位2：同上</w:t>
      </w:r>
    </w:p>
    <w:p w14:paraId="78CFF9ED">
      <w:pPr>
        <w:numPr>
          <w:ilvl w:val="0"/>
          <w:numId w:val="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关联科目：必填，从当年预算科目中选择可关联</w:t>
      </w:r>
    </w:p>
    <w:p w14:paraId="1609546C">
      <w:pPr>
        <w:rPr>
          <w:rFonts w:hint="eastAsia"/>
          <w:rtl w:val="0"/>
          <w:lang w:val="en-US" w:eastAsia="zh-Hans"/>
        </w:rPr>
      </w:pPr>
      <w:r>
        <w:drawing>
          <wp:inline distT="0" distB="0" distL="114300" distR="114300">
            <wp:extent cx="5356860" cy="2306320"/>
            <wp:effectExtent l="0" t="0" r="7620" b="10160"/>
            <wp:docPr id="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AE5A">
      <w:pPr>
        <w:rPr>
          <w:rFonts w:hint="eastAsia"/>
          <w:rtl w:val="0"/>
          <w:lang w:val="en-US" w:eastAsia="zh-CN"/>
        </w:rPr>
      </w:pPr>
    </w:p>
    <w:p w14:paraId="021845FF">
      <w:pPr>
        <w:rPr>
          <w:rFonts w:hint="eastAsia"/>
          <w:rtl w:val="0"/>
          <w:lang w:val="en-US" w:eastAsia="zh-Hans"/>
        </w:rPr>
      </w:pPr>
      <w:r>
        <w:drawing>
          <wp:inline distT="0" distB="0" distL="114300" distR="114300">
            <wp:extent cx="5355590" cy="1434465"/>
            <wp:effectExtent l="0" t="0" r="8890" b="133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ACA4A">
      <w:pPr>
        <w:pStyle w:val="7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17" w:name="_Toc2374"/>
      <w:r>
        <w:rPr>
          <w:rFonts w:hint="eastAsia"/>
          <w:rtl w:val="0"/>
          <w:lang w:val="en-US" w:eastAsia="zh-CN"/>
        </w:rPr>
        <w:t>事项管理</w:t>
      </w:r>
      <w:bookmarkEnd w:id="17"/>
    </w:p>
    <w:p w14:paraId="685C2353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事项是预算项目的子集，预算填报时可按照</w:t>
      </w:r>
      <w:r>
        <w:rPr>
          <w:rFonts w:hint="eastAsia"/>
          <w:u w:val="single"/>
          <w:rtl w:val="0"/>
          <w:lang w:val="en-US" w:eastAsia="zh-CN"/>
        </w:rPr>
        <w:t>预算项目+科目+金额</w:t>
      </w:r>
      <w:r>
        <w:rPr>
          <w:rFonts w:hint="eastAsia"/>
          <w:rtl w:val="0"/>
          <w:lang w:val="en-US" w:eastAsia="zh-CN"/>
        </w:rPr>
        <w:t>方式填报，也可以按照</w:t>
      </w:r>
      <w:r>
        <w:rPr>
          <w:rFonts w:hint="eastAsia"/>
          <w:u w:val="single"/>
          <w:rtl w:val="0"/>
          <w:lang w:val="en-US" w:eastAsia="zh-CN"/>
        </w:rPr>
        <w:t>预算项目+事项+费用项+科目+金额</w:t>
      </w:r>
      <w:r>
        <w:rPr>
          <w:rFonts w:hint="eastAsia"/>
          <w:rtl w:val="0"/>
          <w:lang w:val="en-US" w:eastAsia="zh-CN"/>
        </w:rPr>
        <w:t>的方式填报。事项可设置系统层面，以便于在填报时可从系统库中选择，也支持在填报时添加新事项</w:t>
      </w:r>
    </w:p>
    <w:p w14:paraId="0CA1B682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目前仅在新项目申报中可使用事项（文旅厅的预算填报模式）</w:t>
      </w:r>
    </w:p>
    <w:p w14:paraId="6905ACC8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筛选栏：</w:t>
      </w:r>
    </w:p>
    <w:p w14:paraId="164976CA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事项名称：默认空，精确搜索</w:t>
      </w:r>
    </w:p>
    <w:p w14:paraId="15C0CCA9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事项编码：默认空，精确搜索</w:t>
      </w:r>
    </w:p>
    <w:p w14:paraId="1162C07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列表：</w:t>
      </w:r>
    </w:p>
    <w:p w14:paraId="453FE13A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事项名称</w:t>
      </w:r>
    </w:p>
    <w:p w14:paraId="62B5D3F8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事项编码</w:t>
      </w:r>
    </w:p>
    <w:p w14:paraId="7DAE9456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归口部门：预留字段，文旅厅暂时不适用</w:t>
      </w:r>
    </w:p>
    <w:p w14:paraId="38F5E2F8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负责人</w:t>
      </w:r>
    </w:p>
    <w:p w14:paraId="2C89597C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备注：</w:t>
      </w:r>
    </w:p>
    <w:p w14:paraId="44CCAEFC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创建时间：</w:t>
      </w:r>
    </w:p>
    <w:p w14:paraId="486D38E7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修改时间：</w:t>
      </w:r>
    </w:p>
    <w:p w14:paraId="1DB2E41B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Hans"/>
        </w:rPr>
      </w:pPr>
      <w:r>
        <w:rPr>
          <w:rFonts w:hint="eastAsia"/>
          <w:rtl w:val="0"/>
          <w:lang w:val="en-US" w:eastAsia="zh-CN"/>
        </w:rPr>
        <w:t>操作：查看、编辑、删除</w:t>
      </w:r>
    </w:p>
    <w:p w14:paraId="5E49CB72">
      <w:pPr>
        <w:rPr>
          <w:rFonts w:hint="eastAsia"/>
          <w:rtl w:val="0"/>
          <w:lang w:val="en-US" w:eastAsia="zh-Hans"/>
        </w:rPr>
      </w:pPr>
      <w:r>
        <w:drawing>
          <wp:inline distT="0" distB="0" distL="114300" distR="114300">
            <wp:extent cx="5349240" cy="2008505"/>
            <wp:effectExtent l="0" t="0" r="0" b="31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450D">
      <w:pPr>
        <w:rPr>
          <w:rFonts w:hint="eastAsia"/>
          <w:rtl w:val="0"/>
          <w:lang w:val="en-US" w:eastAsia="zh-CN"/>
        </w:rPr>
      </w:pPr>
    </w:p>
    <w:p w14:paraId="69BD71F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新增事项：</w:t>
      </w:r>
    </w:p>
    <w:p w14:paraId="35CFCC88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事项名称：必填，名称在单位下不允许重复</w:t>
      </w:r>
    </w:p>
    <w:p w14:paraId="04982BE2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事项编码：非必填，编码不允许重复</w:t>
      </w:r>
    </w:p>
    <w:p w14:paraId="1960BB1C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事项归口部门：非必填，允许选择多个部门</w:t>
      </w:r>
    </w:p>
    <w:p w14:paraId="04F9C9AC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负责人：非必填，从部门中选择对应人员，仅允许选择1个</w:t>
      </w:r>
    </w:p>
    <w:p w14:paraId="0A09D8A1">
      <w:pPr>
        <w:numPr>
          <w:ilvl w:val="0"/>
          <w:numId w:val="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备注：非必填</w:t>
      </w:r>
    </w:p>
    <w:p w14:paraId="4622F002">
      <w:p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1780" cy="1994535"/>
            <wp:effectExtent l="0" t="0" r="12700" b="19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530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编辑事项：所有字段都允许编辑</w:t>
      </w:r>
    </w:p>
    <w:p w14:paraId="29DD66DF">
      <w:pPr>
        <w:rPr>
          <w:rFonts w:hint="eastAsia"/>
          <w:rtl w:val="0"/>
          <w:lang w:val="en-US" w:eastAsia="zh-CN"/>
        </w:rPr>
      </w:pPr>
    </w:p>
    <w:p w14:paraId="1E1311FC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删除事项：删除时二次确认</w:t>
      </w:r>
    </w:p>
    <w:p w14:paraId="37DCD2F4">
      <w:pPr>
        <w:rPr>
          <w:rFonts w:hint="eastAsia" w:ascii="宋体" w:hAnsi="宋体" w:cs="宋体"/>
          <w:rtl w:val="0"/>
          <w:lang w:val="en-US" w:eastAsia="zh-CN"/>
        </w:rPr>
      </w:pPr>
    </w:p>
    <w:p w14:paraId="70D84580">
      <w:pPr>
        <w:pStyle w:val="6"/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18" w:name="_Toc10029"/>
      <w:r>
        <w:rPr>
          <w:rFonts w:hint="eastAsia"/>
          <w:rtl w:val="0"/>
          <w:lang w:val="en-US" w:eastAsia="zh-CN"/>
        </w:rPr>
        <w:t>预算项目申报</w:t>
      </w:r>
      <w:bookmarkEnd w:id="18"/>
    </w:p>
    <w:p w14:paraId="5C80C32D">
      <w:pPr>
        <w:pStyle w:val="7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19" w:name="_Toc26596"/>
      <w:r>
        <w:rPr>
          <w:rFonts w:hint="eastAsia"/>
          <w:rtl w:val="0"/>
          <w:lang w:val="en-US" w:eastAsia="zh-CN"/>
        </w:rPr>
        <w:t>预算项目申报-经办人</w:t>
      </w:r>
      <w:bookmarkEnd w:id="19"/>
    </w:p>
    <w:p w14:paraId="5FFE432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经办人发起预算项目申报，填写项目信息+预算相关的事项+科目+金额+项目绩效</w:t>
      </w:r>
    </w:p>
    <w:p w14:paraId="694B62D1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通过审批的预算项目将落入项目库，内部预算项目编报表中，等内部预算项目下发后，内部预算可在预算执行表中查询支出信息的预算进度</w:t>
      </w:r>
    </w:p>
    <w:p w14:paraId="52B157BF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筛选栏：</w:t>
      </w:r>
    </w:p>
    <w:p w14:paraId="3AE7A2C2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项目年度：默认当年，支持选择前后年份</w:t>
      </w:r>
    </w:p>
    <w:p w14:paraId="4E59F668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项目类型：从设置的项目类型数据展示，仅支持选择1个</w:t>
      </w:r>
    </w:p>
    <w:p w14:paraId="51F28764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项目编码：默认空，精确搜索</w:t>
      </w:r>
    </w:p>
    <w:p w14:paraId="066D359C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项目名称</w:t>
      </w:r>
    </w:p>
    <w:p w14:paraId="66FAC73A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项目部门：默认在第一个，根据申报的“项目所在部门”进行筛选，注意非申报的提交部门</w:t>
      </w:r>
    </w:p>
    <w:p w14:paraId="7F7DD245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状态：默认空，可选择未提交、待审核、已驳回、已通过</w:t>
      </w:r>
    </w:p>
    <w:p w14:paraId="5913465A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是否被采纳：默认空，可选择是或是否</w:t>
      </w:r>
    </w:p>
    <w:p w14:paraId="1EF71F37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列表：</w:t>
      </w:r>
    </w:p>
    <w:p w14:paraId="1E4779BE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项目编码</w:t>
      </w:r>
    </w:p>
    <w:p w14:paraId="1504F233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项目名称</w:t>
      </w:r>
    </w:p>
    <w:p w14:paraId="7F36BCC5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项目类型</w:t>
      </w:r>
    </w:p>
    <w:p w14:paraId="677400E0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项目来源</w:t>
      </w:r>
    </w:p>
    <w:p w14:paraId="539E2DFC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所属部门</w:t>
      </w:r>
    </w:p>
    <w:p w14:paraId="456848D1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负责人</w:t>
      </w:r>
    </w:p>
    <w:p w14:paraId="69C70509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项目金额（元）：右对齐展示</w:t>
      </w:r>
    </w:p>
    <w:p w14:paraId="67251B3C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状态</w:t>
      </w:r>
    </w:p>
    <w:p w14:paraId="0BF78A71">
      <w:pPr>
        <w:numPr>
          <w:ilvl w:val="0"/>
          <w:numId w:val="0"/>
        </w:numPr>
      </w:pPr>
      <w:r>
        <w:drawing>
          <wp:inline distT="0" distB="0" distL="114300" distR="114300">
            <wp:extent cx="5353050" cy="2139950"/>
            <wp:effectExtent l="0" t="0" r="11430" b="889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6834"/>
      </w:tblGrid>
      <w:tr w14:paraId="696C2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 w14:paraId="186F42BB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状态</w:t>
            </w:r>
          </w:p>
        </w:tc>
        <w:tc>
          <w:tcPr>
            <w:tcW w:w="6834" w:type="dxa"/>
          </w:tcPr>
          <w:p w14:paraId="0DE61994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操作</w:t>
            </w:r>
          </w:p>
        </w:tc>
      </w:tr>
      <w:tr w14:paraId="089E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 w14:paraId="108960BD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未提交</w:t>
            </w:r>
          </w:p>
        </w:tc>
        <w:tc>
          <w:tcPr>
            <w:tcW w:w="6834" w:type="dxa"/>
          </w:tcPr>
          <w:p w14:paraId="468D377A">
            <w:pPr>
              <w:numPr>
                <w:ilvl w:val="0"/>
                <w:numId w:val="0"/>
              </w:numPr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查看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编辑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删除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历史记录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下载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</w:t>
            </w:r>
          </w:p>
        </w:tc>
      </w:tr>
      <w:tr w14:paraId="7E384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 w14:paraId="48874371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已通过</w:t>
            </w:r>
          </w:p>
        </w:tc>
        <w:tc>
          <w:tcPr>
            <w:tcW w:w="6834" w:type="dxa"/>
          </w:tcPr>
          <w:p w14:paraId="71EBF949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查看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历史记录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下载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</w:t>
            </w:r>
          </w:p>
        </w:tc>
      </w:tr>
      <w:tr w14:paraId="22C2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 w14:paraId="5337E9E2">
            <w:pPr>
              <w:numPr>
                <w:ilvl w:val="0"/>
                <w:numId w:val="0"/>
              </w:numPr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待审核</w:t>
            </w:r>
          </w:p>
        </w:tc>
        <w:tc>
          <w:tcPr>
            <w:tcW w:w="6834" w:type="dxa"/>
          </w:tcPr>
          <w:p w14:paraId="45935172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历史记录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</w:t>
            </w:r>
          </w:p>
        </w:tc>
      </w:tr>
      <w:tr w14:paraId="778B3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0" w:type="dxa"/>
          </w:tcPr>
          <w:p w14:paraId="3D7EEBD3">
            <w:pPr>
              <w:numPr>
                <w:ilvl w:val="0"/>
                <w:numId w:val="0"/>
              </w:num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已驳回</w:t>
            </w:r>
          </w:p>
        </w:tc>
        <w:tc>
          <w:tcPr>
            <w:tcW w:w="6834" w:type="dxa"/>
          </w:tcPr>
          <w:p w14:paraId="6C1E6ABD">
            <w:pPr>
              <w:numPr>
                <w:ilvl w:val="0"/>
                <w:numId w:val="0"/>
              </w:numPr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查看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编辑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删除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历史记录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】【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下载</w:t>
            </w: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】</w:t>
            </w:r>
          </w:p>
        </w:tc>
      </w:tr>
    </w:tbl>
    <w:p w14:paraId="6CD5BFE9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历史记录如下：</w:t>
      </w:r>
    </w:p>
    <w:p w14:paraId="2EBCE887">
      <w:pPr>
        <w:numPr>
          <w:ilvl w:val="0"/>
          <w:numId w:val="0"/>
        </w:numPr>
      </w:pPr>
      <w:r>
        <w:drawing>
          <wp:inline distT="0" distB="0" distL="114300" distR="114300">
            <wp:extent cx="5353685" cy="1339215"/>
            <wp:effectExtent l="0" t="0" r="10795" b="190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7542">
      <w:pPr>
        <w:numPr>
          <w:ilvl w:val="0"/>
          <w:numId w:val="0"/>
        </w:numPr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打印如下：</w:t>
      </w:r>
    </w:p>
    <w:p w14:paraId="10343676">
      <w:pPr>
        <w:numPr>
          <w:ilvl w:val="0"/>
          <w:numId w:val="0"/>
        </w:num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51145" cy="3513455"/>
            <wp:effectExtent l="0" t="0" r="13335" b="698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61E8">
      <w:pPr>
        <w:numPr>
          <w:ilvl w:val="0"/>
          <w:numId w:val="0"/>
        </w:num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项目申报：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2"/>
      </w:tblGrid>
      <w:tr w14:paraId="55383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2" w:type="dxa"/>
          </w:tcPr>
          <w:p w14:paraId="1F6A8D2E">
            <w:pPr>
              <w:numPr>
                <w:ilvl w:val="0"/>
                <w:numId w:val="0"/>
              </w:numPr>
              <w:rPr>
                <w:rFonts w:hint="default" w:ascii="宋体" w:hAnsi="宋体" w:cs="宋体"/>
                <w:sz w:val="18"/>
                <w:szCs w:val="18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vertAlign w:val="baseline"/>
                <w:rtl w:val="0"/>
                <w:lang w:val="en-US" w:eastAsia="zh-CN"/>
              </w:rPr>
              <w:t>（可不对外）预算项目申报的表单，</w:t>
            </w:r>
            <w:r>
              <w:rPr>
                <w:rFonts w:hint="eastAsia" w:ascii="宋体" w:hAnsi="宋体" w:cs="宋体"/>
                <w:sz w:val="18"/>
                <w:szCs w:val="18"/>
                <w:rtl w:val="0"/>
                <w:lang w:val="en-US" w:eastAsia="zh-CN"/>
              </w:rPr>
              <w:t>使用百搭搭建，支持编辑和修改单据信息，支持打印模板自定义设置</w:t>
            </w:r>
          </w:p>
        </w:tc>
      </w:tr>
    </w:tbl>
    <w:p w14:paraId="3B7A078C">
      <w:pPr>
        <w:numPr>
          <w:ilvl w:val="0"/>
          <w:numId w:val="7"/>
        </w:num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基本信息</w:t>
      </w:r>
    </w:p>
    <w:p w14:paraId="4FE56ED0">
      <w:pPr>
        <w:numPr>
          <w:ilvl w:val="0"/>
          <w:numId w:val="8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经办人：必填，默认当前操作用户，不允许修改</w:t>
      </w:r>
    </w:p>
    <w:p w14:paraId="16CA316E">
      <w:pPr>
        <w:numPr>
          <w:ilvl w:val="0"/>
          <w:numId w:val="8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申请部门：必填，默认当前操作用户的所在部门，允许切换其他部门</w:t>
      </w:r>
    </w:p>
    <w:p w14:paraId="3B75C5BB">
      <w:pPr>
        <w:numPr>
          <w:ilvl w:val="0"/>
          <w:numId w:val="8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申请理由：必填</w:t>
      </w:r>
    </w:p>
    <w:p w14:paraId="28C814C8">
      <w:pPr>
        <w:numPr>
          <w:ilvl w:val="0"/>
          <w:numId w:val="0"/>
        </w:numPr>
        <w:ind w:leftChars="0"/>
        <w:rPr>
          <w:rFonts w:hint="default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5357495" cy="1395095"/>
            <wp:effectExtent l="9525" t="9525" r="12700" b="1270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1395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207832">
      <w:pPr>
        <w:numPr>
          <w:ilvl w:val="0"/>
          <w:numId w:val="7"/>
        </w:num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项目信息</w:t>
      </w:r>
    </w:p>
    <w:p w14:paraId="6B93941A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——可新建项目或是从项目库选择项目填写，新建字段如下</w:t>
      </w:r>
    </w:p>
    <w:p w14:paraId="44414D66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项目名称；必填，</w:t>
      </w:r>
    </w:p>
    <w:p w14:paraId="217DDE50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预算年度：必填，默认当年</w:t>
      </w:r>
    </w:p>
    <w:p w14:paraId="7D248139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项目类型：非必填，从项目类型表中多层级选择</w:t>
      </w:r>
    </w:p>
    <w:p w14:paraId="275A14F9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项目负责人：必填，支持从组织树中多选用户</w:t>
      </w:r>
    </w:p>
    <w:p w14:paraId="1BD1C288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是否政府投资项目：必填，是或否</w:t>
      </w:r>
    </w:p>
    <w:p w14:paraId="520D4C43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项目属性：必填，一次性项目、阶段性项目、经常性项目</w:t>
      </w:r>
    </w:p>
    <w:p w14:paraId="7E11983D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项目期限：必填，当是一次性项目时，项目期限仅允许选择对应1年（Tips：通过百搭联动配置实现）；当是阶段性项目OR经常性项目时，项目期限允许多选年份</w:t>
      </w:r>
    </w:p>
    <w:p w14:paraId="69C49615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是否有政府采购：必填，是或否</w:t>
      </w:r>
    </w:p>
    <w:p w14:paraId="5366426D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是否节庆展会论坛活动项目：必填，是或否</w:t>
      </w:r>
    </w:p>
    <w:p w14:paraId="3CDEE54C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项目所在部门：必填，从组织树中选择,列表查询项目通过该字段查询</w:t>
      </w:r>
    </w:p>
    <w:p w14:paraId="77F09592">
      <w:pPr>
        <w:numPr>
          <w:ilvl w:val="0"/>
          <w:numId w:val="9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项目金额（元）：必填</w:t>
      </w:r>
    </w:p>
    <w:p w14:paraId="4AEB198F">
      <w:pPr>
        <w:numPr>
          <w:ilvl w:val="0"/>
          <w:numId w:val="9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立项依据：：必填</w:t>
      </w:r>
    </w:p>
    <w:p w14:paraId="412F3682">
      <w:pPr>
        <w:numPr>
          <w:ilvl w:val="0"/>
          <w:numId w:val="9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项目内容：必填</w:t>
      </w:r>
    </w:p>
    <w:p w14:paraId="57C9C697">
      <w:pPr>
        <w:numPr>
          <w:ilvl w:val="0"/>
          <w:numId w:val="9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年度绩效目标：必填</w:t>
      </w:r>
    </w:p>
    <w:p w14:paraId="295123B2">
      <w:pPr>
        <w:numPr>
          <w:ilvl w:val="0"/>
          <w:numId w:val="9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实施计划：必填</w:t>
      </w:r>
    </w:p>
    <w:p w14:paraId="076A6790">
      <w:pPr>
        <w:numPr>
          <w:ilvl w:val="0"/>
          <w:numId w:val="9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测算依据及说明：必填</w:t>
      </w:r>
    </w:p>
    <w:p w14:paraId="1C2F3E6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60035" cy="2049780"/>
            <wp:effectExtent l="9525" t="9525" r="10160" b="1333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049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F8E09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从项目库选择，弹窗选择项目库数据：</w:t>
      </w:r>
    </w:p>
    <w:p w14:paraId="78F7C3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筛选栏：</w:t>
      </w:r>
    </w:p>
    <w:p w14:paraId="296BD77E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年份：默认前一年，从项目库选择时，需要选择历史的项目库项目数据（一般是当年年中做下一年的预算）</w:t>
      </w:r>
    </w:p>
    <w:p w14:paraId="1301E4F4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项目名称：默认空，精确搜索</w:t>
      </w:r>
    </w:p>
    <w:p w14:paraId="24E2F2B2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项目编码：默认空，精确搜索</w:t>
      </w:r>
    </w:p>
    <w:p w14:paraId="0CBE4349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（仅允许选择一个）</w:t>
      </w:r>
    </w:p>
    <w:p w14:paraId="6BD702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后，将项目的信息置入：项目名称、预算年份（原年份）、项目负责人、是否政府项目、项目属性、项目期限、是否节庆展会论坛活动项目、项目所在部门、项目金额、立项、项目内容、年度绩效目标、实施计划、测算依据及说明</w:t>
      </w:r>
    </w:p>
    <w:p w14:paraId="0DFEEE95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5590" cy="4319270"/>
            <wp:effectExtent l="0" t="0" r="8890" b="889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43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ED4F">
      <w:pPr>
        <w:numPr>
          <w:ilvl w:val="0"/>
          <w:numId w:val="7"/>
        </w:num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项目明细预算</w:t>
      </w:r>
    </w:p>
    <w:p w14:paraId="72670D5C">
      <w:pPr>
        <w:numPr>
          <w:ilvl w:val="0"/>
          <w:numId w:val="1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事项名称：必填，事项名称不允许重复</w:t>
      </w:r>
    </w:p>
    <w:p w14:paraId="07FC23AD">
      <w:pPr>
        <w:numPr>
          <w:ilvl w:val="0"/>
          <w:numId w:val="1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费用项：必填，允许从费用项库里选择，也允许自定义添加，自定义添加的数据不会落入费用项库，自定义添加时仅输入费用项名称；若库里的费用项有设置规则，将按照规则置入标准信息，比如1人1天400元</w:t>
      </w:r>
    </w:p>
    <w:p w14:paraId="701005CD">
      <w:pPr>
        <w:numPr>
          <w:ilvl w:val="0"/>
          <w:numId w:val="0"/>
        </w:numPr>
        <w:ind w:leftChars="0"/>
        <w:rPr>
          <w:rFonts w:hint="eastAsia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5361940" cy="2303145"/>
            <wp:effectExtent l="0" t="0" r="2540" b="1333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4D1D">
      <w:pPr>
        <w:numPr>
          <w:ilvl w:val="0"/>
          <w:numId w:val="1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填报说明：必填</w:t>
      </w:r>
    </w:p>
    <w:p w14:paraId="74AEC226">
      <w:pPr>
        <w:numPr>
          <w:ilvl w:val="0"/>
          <w:numId w:val="1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标准单价：必填，若是费用项的标准金额，则不允许编辑</w:t>
      </w:r>
    </w:p>
    <w:p w14:paraId="4EFE886F">
      <w:pPr>
        <w:numPr>
          <w:ilvl w:val="0"/>
          <w:numId w:val="1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单价：默认单价=标准单价，若费用项金额调整，则单价重新计算=费用项金额/数量1/数量2，即原本400元标准金额，1人2天等于800元，调整为600元，单价=600/1/2=300</w:t>
      </w:r>
    </w:p>
    <w:p w14:paraId="1B01B66E">
      <w:pPr>
        <w:numPr>
          <w:ilvl w:val="0"/>
          <w:numId w:val="1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计量单位1：从费用项带入，或是自定义填写</w:t>
      </w:r>
    </w:p>
    <w:p w14:paraId="39E17873">
      <w:pPr>
        <w:numPr>
          <w:ilvl w:val="0"/>
          <w:numId w:val="1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数量：自定义输入</w:t>
      </w:r>
    </w:p>
    <w:p w14:paraId="452E07B9">
      <w:pPr>
        <w:numPr>
          <w:ilvl w:val="0"/>
          <w:numId w:val="1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计量单位2：从费用项带入，或是自定义填写</w:t>
      </w:r>
    </w:p>
    <w:p w14:paraId="6AC8A0AC">
      <w:pPr>
        <w:numPr>
          <w:ilvl w:val="0"/>
          <w:numId w:val="1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数量：自定义输入</w:t>
      </w:r>
    </w:p>
    <w:p w14:paraId="4733A001">
      <w:pPr>
        <w:numPr>
          <w:ilvl w:val="0"/>
          <w:numId w:val="1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费用项金额：标准金额*数量1*数量2计算所得，允许修改，修改后单价金额，需要反算单价，单价=修改后费用金额/数量1/数量2</w:t>
      </w:r>
    </w:p>
    <w:p w14:paraId="76EF35C4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356860" cy="1158240"/>
            <wp:effectExtent l="0" t="0" r="7620" b="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54E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60670" cy="1145540"/>
            <wp:effectExtent l="0" t="0" r="3810" b="1270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0C755">
      <w:pPr>
        <w:numPr>
          <w:ilvl w:val="0"/>
          <w:numId w:val="0"/>
        </w:numPr>
        <w:ind w:leftChars="0"/>
        <w:rPr>
          <w:rFonts w:hint="default" w:ascii="宋体" w:hAnsi="宋体" w:cs="宋体"/>
          <w:rtl w:val="0"/>
          <w:lang w:val="en-US" w:eastAsia="zh-CN"/>
        </w:rPr>
      </w:pPr>
    </w:p>
    <w:p w14:paraId="68DE7C0F">
      <w:pPr>
        <w:numPr>
          <w:ilvl w:val="0"/>
          <w:numId w:val="1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预算科目：必填，从费用项带出或是自定义选择，选择的范围从项目的“预算年度”对应的预算科目表中获取</w:t>
      </w:r>
    </w:p>
    <w:p w14:paraId="2E33CA74">
      <w:pPr>
        <w:numPr>
          <w:ilvl w:val="0"/>
          <w:numId w:val="1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是否涉及采购：必填，是或否</w:t>
      </w:r>
    </w:p>
    <w:p w14:paraId="120A5951">
      <w:pPr>
        <w:numPr>
          <w:ilvl w:val="0"/>
          <w:numId w:val="1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操作：添加行，删除行</w:t>
      </w:r>
    </w:p>
    <w:p w14:paraId="4E7E577C">
      <w:pPr>
        <w:numPr>
          <w:ilvl w:val="0"/>
          <w:numId w:val="0"/>
        </w:numPr>
        <w:ind w:left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信息复制功能：将当前项目明细预算的信息置入“测算依据及说明”输入框中，其中的价格使用的计算所得的单价</w:t>
      </w:r>
    </w:p>
    <w:p w14:paraId="640A82AE">
      <w:pPr>
        <w:numPr>
          <w:ilvl w:val="0"/>
          <w:numId w:val="0"/>
        </w:numPr>
        <w:ind w:leftChars="0"/>
        <w:rPr>
          <w:rFonts w:hint="default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5361940" cy="4295140"/>
            <wp:effectExtent l="0" t="0" r="2540" b="254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07EE">
      <w:pPr>
        <w:numPr>
          <w:ilvl w:val="0"/>
          <w:numId w:val="7"/>
        </w:num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项目绩效表</w:t>
      </w:r>
    </w:p>
    <w:p w14:paraId="615E424E">
      <w:pPr>
        <w:numPr>
          <w:ilvl w:val="0"/>
          <w:numId w:val="1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绩效指标：必填，从指标库中选择，允许自定义创建，新建时弹窗显示</w:t>
      </w:r>
    </w:p>
    <w:p w14:paraId="0D1606A4">
      <w:pPr>
        <w:numPr>
          <w:ilvl w:val="0"/>
          <w:numId w:val="1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指标值：必填</w:t>
      </w:r>
    </w:p>
    <w:p w14:paraId="46B4427E">
      <w:pPr>
        <w:numPr>
          <w:ilvl w:val="0"/>
          <w:numId w:val="1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权重：自定义设置，最终合计需100%，否则报错提示</w:t>
      </w:r>
    </w:p>
    <w:p w14:paraId="52FDA3CC">
      <w:pPr>
        <w:numPr>
          <w:ilvl w:val="0"/>
          <w:numId w:val="11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备注：非必填</w:t>
      </w:r>
    </w:p>
    <w:p w14:paraId="2CA41125">
      <w:pPr>
        <w:numPr>
          <w:ilvl w:val="0"/>
          <w:numId w:val="0"/>
        </w:numPr>
      </w:pPr>
      <w:r>
        <w:drawing>
          <wp:inline distT="0" distB="0" distL="114300" distR="114300">
            <wp:extent cx="5359400" cy="1886585"/>
            <wp:effectExtent l="0" t="0" r="5080" b="3175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AD29">
      <w:pPr>
        <w:numPr>
          <w:ilvl w:val="0"/>
          <w:numId w:val="0"/>
        </w:num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60670" cy="3698240"/>
            <wp:effectExtent l="0" t="0" r="3810" b="5080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2EE3">
      <w:pPr>
        <w:numPr>
          <w:ilvl w:val="0"/>
          <w:numId w:val="7"/>
        </w:num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分年度支出计划表（单位：元）：必填</w:t>
      </w:r>
    </w:p>
    <w:p w14:paraId="28AD1A3D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年度：自定义输入</w:t>
      </w:r>
    </w:p>
    <w:p w14:paraId="25F20626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申报数：自定义输入</w:t>
      </w:r>
    </w:p>
    <w:p w14:paraId="3BBAB6D9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color w:val="BFBFBF" w:themeColor="background1" w:themeShade="BF"/>
          <w:rtl w:val="0"/>
          <w:lang w:val="en-US" w:eastAsia="zh-CN"/>
        </w:rPr>
      </w:pPr>
      <w:r>
        <w:rPr>
          <w:rFonts w:hint="eastAsia" w:ascii="宋体" w:hAnsi="宋体" w:cs="宋体"/>
          <w:color w:val="BFBFBF" w:themeColor="background1" w:themeShade="BF"/>
          <w:rtl w:val="0"/>
          <w:lang w:val="en-US" w:eastAsia="zh-CN"/>
        </w:rPr>
        <w:t>其中：一般公共预算    非必填，未显示</w:t>
      </w:r>
    </w:p>
    <w:p w14:paraId="68D61634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color w:val="BFBFBF" w:themeColor="background1" w:themeShade="BF"/>
          <w:rtl w:val="0"/>
          <w:lang w:val="en-US" w:eastAsia="zh-CN"/>
        </w:rPr>
      </w:pPr>
      <w:r>
        <w:rPr>
          <w:rFonts w:hint="eastAsia" w:ascii="宋体" w:hAnsi="宋体" w:cs="宋体"/>
          <w:color w:val="BFBFBF" w:themeColor="background1" w:themeShade="BF"/>
          <w:rtl w:val="0"/>
          <w:lang w:val="en-US" w:eastAsia="zh-CN"/>
        </w:rPr>
        <w:t>其中：政府性基金    非必填，未显示</w:t>
      </w:r>
    </w:p>
    <w:p w14:paraId="21FF9279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color w:val="BFBFBF" w:themeColor="background1" w:themeShade="BF"/>
          <w:rtl w:val="0"/>
          <w:lang w:val="en-US" w:eastAsia="zh-CN"/>
        </w:rPr>
        <w:t>其中：国有资本经营基金    非必填，未显示</w:t>
      </w:r>
    </w:p>
    <w:p w14:paraId="1ED07334">
      <w:pPr>
        <w:numPr>
          <w:ilvl w:val="0"/>
          <w:numId w:val="0"/>
        </w:num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——校验：申报数总额等于项目总金额；分年度计划的条数等于项目期限(年份数量)</w:t>
      </w:r>
    </w:p>
    <w:p w14:paraId="2325DECC">
      <w:pPr>
        <w:numPr>
          <w:ilvl w:val="0"/>
          <w:numId w:val="0"/>
        </w:numPr>
        <w:rPr>
          <w:rFonts w:hint="default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5358130" cy="1280160"/>
            <wp:effectExtent l="0" t="0" r="6350" b="0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1319">
      <w:pPr>
        <w:numPr>
          <w:ilvl w:val="0"/>
          <w:numId w:val="7"/>
        </w:num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政府采购情况表：非必填</w:t>
      </w:r>
    </w:p>
    <w:p w14:paraId="253B06ED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政府采购目录：从目录表中选择（系统层面的）</w:t>
      </w:r>
    </w:p>
    <w:p w14:paraId="5F0DF6C5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采购类型：从类型表中选择（系统层面的）</w:t>
      </w:r>
    </w:p>
    <w:p w14:paraId="77BECE2B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政府购买服务目录：从目录中选择（系统层面的）</w:t>
      </w:r>
    </w:p>
    <w:p w14:paraId="5DC64060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资产分类：自定义输入</w:t>
      </w:r>
    </w:p>
    <w:p w14:paraId="6AB7E4BB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资产名称：自定义输入</w:t>
      </w:r>
    </w:p>
    <w:p w14:paraId="0732E6D1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资产存量：自定义输入</w:t>
      </w:r>
    </w:p>
    <w:p w14:paraId="337BA7FA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资产编制数：自定义输入</w:t>
      </w:r>
    </w:p>
    <w:p w14:paraId="41729B9F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是否专门面向中小企业采购：是或否</w:t>
      </w:r>
    </w:p>
    <w:p w14:paraId="2B5D72AD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面向中小企业采购原因：是面向中小企业采购时，才必填</w:t>
      </w:r>
    </w:p>
    <w:p w14:paraId="7BE549A3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数量：自定义输入</w:t>
      </w:r>
    </w:p>
    <w:p w14:paraId="4809309C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单价：自定义输入</w:t>
      </w:r>
    </w:p>
    <w:p w14:paraId="2F268361">
      <w:pPr>
        <w:numPr>
          <w:ilvl w:val="0"/>
          <w:numId w:val="13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总金额：计算所得=单价*数量</w:t>
      </w:r>
    </w:p>
    <w:p w14:paraId="1B9D2AC2">
      <w:pPr>
        <w:numPr>
          <w:ilvl w:val="0"/>
          <w:numId w:val="0"/>
        </w:numPr>
        <w:ind w:left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——操作：同步</w:t>
      </w:r>
    </w:p>
    <w:p w14:paraId="7D17EF4F">
      <w:pPr>
        <w:numPr>
          <w:ilvl w:val="0"/>
          <w:numId w:val="0"/>
        </w:numPr>
        <w:ind w:left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当项目明细预算的“是否涉及采购=是”则可将信息置入</w:t>
      </w:r>
    </w:p>
    <w:p w14:paraId="3EEB650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56860" cy="1206500"/>
            <wp:effectExtent l="0" t="0" r="7620" b="12700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1FA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56860" cy="1193165"/>
            <wp:effectExtent l="0" t="0" r="7620" b="1079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0014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采购标的/设备名称：必填</w:t>
      </w:r>
    </w:p>
    <w:p w14:paraId="4EC7EC98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拟实现功能或目标：必填</w:t>
      </w:r>
    </w:p>
    <w:p w14:paraId="3C13734B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部门支出经济分类：非必填，仅选择个，下拉选择资料印刷费、场地租赁费、展位基本搭建费公共布展费、招商费、宣传费、其他</w:t>
      </w:r>
    </w:p>
    <w:p w14:paraId="4FCA32ED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政府采购品目：非必填，仅选择个，下拉选择A货物、B工程和C服务的子类，如A02020100复印机、A02020200投影仪、A02020300投影幕、A02020400多功能一体机、A02020500照相机及器材、A02020600执法记录仪等</w:t>
      </w:r>
    </w:p>
    <w:p w14:paraId="7F133B90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采购组织形式：非必填，仅选择1个，12-部门集中采购、11-集中采购机构采购、12-部门集中采购、2-分散采购</w:t>
      </w:r>
    </w:p>
    <w:p w14:paraId="7A5961D5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采购方式：非必填，仅选择1个，1公开招标、2邀请招标、3竞争性谈判、4单一来源采购、5询价、6竞争性磋商、7电子卖场、8框架协议采购</w:t>
      </w:r>
    </w:p>
    <w:p w14:paraId="0AC5A015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资金性质：必填，仅允许选择1个，下拉选择一般公共预算资金、一般债券</w:t>
      </w:r>
    </w:p>
    <w:p w14:paraId="5F4FECC7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政府性基金预算资金、专项债券、国有资本经营预算资金、财政专户管理资金、事业收入、事业单位经营收入</w:t>
      </w:r>
    </w:p>
    <w:p w14:paraId="17EF2AEC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计量单位：必填</w:t>
      </w:r>
    </w:p>
    <w:p w14:paraId="471B1A69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数量：非必填</w:t>
      </w:r>
    </w:p>
    <w:p w14:paraId="610D0D17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单价：非必填</w:t>
      </w:r>
    </w:p>
    <w:p w14:paraId="1415D610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金额：非必填</w:t>
      </w:r>
    </w:p>
    <w:p w14:paraId="6B4D1AB6">
      <w:pPr>
        <w:numPr>
          <w:ilvl w:val="0"/>
          <w:numId w:val="1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是否专门面向小型、微型企业采购：必填，是或否</w:t>
      </w:r>
    </w:p>
    <w:p w14:paraId="6154EA02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小微企业预留比例</w:t>
      </w:r>
      <w:r>
        <w:rPr>
          <w:rFonts w:hint="eastAsia"/>
          <w:lang w:val="en-US" w:eastAsia="zh-CN"/>
        </w:rPr>
        <w:t>：非必填</w:t>
      </w:r>
    </w:p>
    <w:p w14:paraId="0DAFB77E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是否专门面向中小企业采购</w:t>
      </w:r>
      <w:r>
        <w:rPr>
          <w:rFonts w:hint="eastAsia"/>
          <w:lang w:val="en-US" w:eastAsia="zh-CN"/>
        </w:rPr>
        <w:t>：必填，是或否</w:t>
      </w:r>
    </w:p>
    <w:p w14:paraId="5EBBE84C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中小企业预留比例</w:t>
      </w:r>
      <w:r>
        <w:rPr>
          <w:rFonts w:hint="eastAsia"/>
          <w:lang w:val="en-US" w:eastAsia="zh-CN"/>
        </w:rPr>
        <w:t>：非必填</w:t>
      </w:r>
    </w:p>
    <w:p w14:paraId="36E1BD38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面向中小企业采购原因</w:t>
      </w:r>
      <w:r>
        <w:rPr>
          <w:rFonts w:hint="eastAsia"/>
          <w:lang w:val="en-US" w:eastAsia="zh-CN"/>
        </w:rPr>
        <w:t>：非必填</w:t>
      </w:r>
    </w:p>
    <w:p w14:paraId="7C7C4C40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61305" cy="1112520"/>
            <wp:effectExtent l="0" t="0" r="3175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4D13B">
      <w:pPr>
        <w:numPr>
          <w:ilvl w:val="0"/>
          <w:numId w:val="7"/>
        </w:num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委托业务费情况（元）：非必填</w:t>
      </w:r>
    </w:p>
    <w:p w14:paraId="57BE8811">
      <w:pPr>
        <w:numPr>
          <w:ilvl w:val="0"/>
          <w:numId w:val="0"/>
        </w:num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当是否节庆展会论坛活动项目=是/节庆，则显示当前栏</w:t>
      </w:r>
    </w:p>
    <w:p w14:paraId="6491B336">
      <w:pPr>
        <w:numPr>
          <w:ilvl w:val="0"/>
          <w:numId w:val="14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委托业务项目分类：必填，仅选择1个，选择展会、重大课题规划</w:t>
      </w:r>
    </w:p>
    <w:p w14:paraId="075C6E99">
      <w:pPr>
        <w:numPr>
          <w:ilvl w:val="0"/>
          <w:numId w:val="14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二级分类:展位基本搭建</w:t>
      </w:r>
    </w:p>
    <w:p w14:paraId="37E8FA1D">
      <w:pPr>
        <w:numPr>
          <w:ilvl w:val="0"/>
          <w:numId w:val="14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场地租赁费</w:t>
      </w:r>
    </w:p>
    <w:p w14:paraId="79C8E840">
      <w:pPr>
        <w:numPr>
          <w:ilvl w:val="0"/>
          <w:numId w:val="14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资料印刷费</w:t>
      </w:r>
    </w:p>
    <w:p w14:paraId="39FE4FCB">
      <w:pPr>
        <w:numPr>
          <w:ilvl w:val="0"/>
          <w:numId w:val="14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展位基本搭建</w:t>
      </w:r>
    </w:p>
    <w:p w14:paraId="5B895F9C">
      <w:pPr>
        <w:numPr>
          <w:ilvl w:val="0"/>
          <w:numId w:val="14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公共布展费</w:t>
      </w:r>
    </w:p>
    <w:p w14:paraId="5A3FA41E">
      <w:pPr>
        <w:numPr>
          <w:ilvl w:val="0"/>
          <w:numId w:val="14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招商费</w:t>
      </w:r>
    </w:p>
    <w:p w14:paraId="733EE7E9">
      <w:pPr>
        <w:numPr>
          <w:ilvl w:val="0"/>
          <w:numId w:val="14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宣传费</w:t>
      </w:r>
    </w:p>
    <w:p w14:paraId="2F9CC5F2">
      <w:pPr>
        <w:numPr>
          <w:ilvl w:val="0"/>
          <w:numId w:val="14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其他</w:t>
      </w:r>
    </w:p>
    <w:p w14:paraId="42DD2708">
      <w:pPr>
        <w:numPr>
          <w:ilvl w:val="0"/>
          <w:numId w:val="0"/>
        </w:numPr>
        <w:rPr>
          <w:rFonts w:hint="default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5356860" cy="1765935"/>
            <wp:effectExtent l="0" t="0" r="7620" b="1905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8EB1">
      <w:pPr>
        <w:numPr>
          <w:ilvl w:val="0"/>
          <w:numId w:val="7"/>
        </w:num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节庆、展会、论坛情况表（元）：非必填</w:t>
      </w:r>
    </w:p>
    <w:p w14:paraId="22F107FC">
      <w:pPr>
        <w:numPr>
          <w:ilvl w:val="0"/>
          <w:numId w:val="1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当是否节庆展会论坛活动项目=是/节庆OR论坛活动OR展会，则显示当前栏</w:t>
      </w:r>
    </w:p>
    <w:p w14:paraId="520E398B">
      <w:pPr>
        <w:numPr>
          <w:ilvl w:val="0"/>
          <w:numId w:val="1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举办/参加：选择</w:t>
      </w:r>
    </w:p>
    <w:p w14:paraId="0B69BA87">
      <w:pPr>
        <w:numPr>
          <w:ilvl w:val="0"/>
          <w:numId w:val="1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节庆、展会、论坛活动名称：自定义输入</w:t>
      </w:r>
    </w:p>
    <w:p w14:paraId="2AAF804C">
      <w:pPr>
        <w:numPr>
          <w:ilvl w:val="0"/>
          <w:numId w:val="1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主办单位</w:t>
      </w:r>
    </w:p>
    <w:p w14:paraId="1242484B">
      <w:pPr>
        <w:numPr>
          <w:ilvl w:val="0"/>
          <w:numId w:val="1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举办周期</w:t>
      </w:r>
    </w:p>
    <w:p w14:paraId="2C32362B">
      <w:pPr>
        <w:numPr>
          <w:ilvl w:val="0"/>
          <w:numId w:val="1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举办地点</w:t>
      </w:r>
    </w:p>
    <w:p w14:paraId="58748232">
      <w:pPr>
        <w:numPr>
          <w:ilvl w:val="0"/>
          <w:numId w:val="1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举办或参加理由和依据</w:t>
      </w:r>
    </w:p>
    <w:p w14:paraId="0A6FEEEE">
      <w:pPr>
        <w:numPr>
          <w:ilvl w:val="0"/>
          <w:numId w:val="15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上届经费支出</w:t>
      </w:r>
    </w:p>
    <w:p w14:paraId="74EF2744">
      <w:pPr>
        <w:numPr>
          <w:ilvl w:val="0"/>
          <w:numId w:val="0"/>
        </w:numPr>
        <w:ind w:leftChars="0"/>
        <w:rPr>
          <w:rFonts w:hint="default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5355590" cy="1096010"/>
            <wp:effectExtent l="0" t="0" r="8890" b="1270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19D8">
      <w:pPr>
        <w:numPr>
          <w:ilvl w:val="0"/>
          <w:numId w:val="7"/>
        </w:num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附件：非必填，上传其他附件</w:t>
      </w:r>
    </w:p>
    <w:p w14:paraId="44BDCE3F">
      <w:pPr>
        <w:numPr>
          <w:ilvl w:val="0"/>
          <w:numId w:val="7"/>
        </w:num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审批信息：必填，可设置审批条件和审核人员（百搭配置），审批流的岗位一定要注意，</w:t>
      </w:r>
      <w:r>
        <w:rPr>
          <w:rFonts w:hint="eastAsia" w:ascii="宋体" w:hAnsi="宋体" w:cs="宋体"/>
          <w:color w:val="C00000"/>
          <w:rtl w:val="0"/>
          <w:lang w:val="en-US" w:eastAsia="zh-CN"/>
        </w:rPr>
        <w:t>最后一岗要设置为财务审核，</w:t>
      </w:r>
      <w:r>
        <w:rPr>
          <w:rFonts w:hint="eastAsia" w:ascii="宋体" w:hAnsi="宋体" w:cs="宋体"/>
          <w:rtl w:val="0"/>
          <w:lang w:val="en-US" w:eastAsia="zh-CN"/>
        </w:rPr>
        <w:t>以实现总预算调整后，最后财务岗可编辑金额</w:t>
      </w:r>
    </w:p>
    <w:p w14:paraId="3AACB31C">
      <w:pPr>
        <w:numPr>
          <w:ilvl w:val="0"/>
          <w:numId w:val="0"/>
        </w:numPr>
        <w:rPr>
          <w:rFonts w:hint="default" w:ascii="宋体" w:hAnsi="宋体" w:cs="宋体"/>
          <w:rtl w:val="0"/>
          <w:lang w:val="en-US" w:eastAsia="zh-CN"/>
        </w:rPr>
      </w:pPr>
    </w:p>
    <w:p w14:paraId="14BC4C50">
      <w:pPr>
        <w:pStyle w:val="7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20" w:name="_Toc9005"/>
      <w:r>
        <w:rPr>
          <w:rFonts w:hint="eastAsia"/>
          <w:rtl w:val="0"/>
          <w:lang w:val="en-US" w:eastAsia="zh-CN"/>
        </w:rPr>
        <w:t>项目审核管理-财务</w:t>
      </w:r>
      <w:bookmarkEnd w:id="20"/>
    </w:p>
    <w:p w14:paraId="46716F0C">
      <w:pPr>
        <w:rPr>
          <w:rFonts w:hint="eastAsia"/>
          <w:lang w:val="en-US" w:eastAsia="zh-CN"/>
        </w:rPr>
      </w:pPr>
      <w:r>
        <w:rPr>
          <w:rFonts w:hint="eastAsia"/>
          <w:rtl w:val="0"/>
          <w:lang w:val="en-US" w:eastAsia="zh-CN"/>
        </w:rPr>
        <w:t>经办人发起预算项目申报，流转至到审核人员审核，所有审核人员可在该菜单查看待审批的数据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财务可查看到内外部项目情况，内部项目是内部编报的预算数据，后期在支出管理中选择的是内部预算项目；外部项目是一体化指标对应的项目，可创建内外部项目的联系，便于选择内部项目后，在财务选择国库一体化指标时默认勾选外部项目的财政预算指标</w:t>
      </w:r>
    </w:p>
    <w:p w14:paraId="677A926A">
      <w:pPr>
        <w:rPr>
          <w:rFonts w:hint="eastAsia"/>
          <w:lang w:val="en-US" w:eastAsia="zh-CN"/>
        </w:rPr>
      </w:pPr>
    </w:p>
    <w:p w14:paraId="537BE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左侧单位列表：</w:t>
      </w:r>
    </w:p>
    <w:p w14:paraId="1EA5444B">
      <w:pPr>
        <w:numPr>
          <w:ilvl w:val="0"/>
          <w:numId w:val="1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租户可查看所有关联单位的预算填报数据</w:t>
      </w:r>
    </w:p>
    <w:p w14:paraId="2F6A4AD6">
      <w:pPr>
        <w:numPr>
          <w:ilvl w:val="0"/>
          <w:numId w:val="1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单位查看本级的所有预算填报数据</w:t>
      </w:r>
    </w:p>
    <w:p w14:paraId="44DC45F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筛选栏：</w:t>
      </w:r>
    </w:p>
    <w:p w14:paraId="13B84BA4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预算年度：默认当年，支持选择前后年份</w:t>
      </w:r>
    </w:p>
    <w:p w14:paraId="01729796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项目名称：从设置的项目类型数据展示，仅支持选择1个</w:t>
      </w:r>
    </w:p>
    <w:p w14:paraId="71D31BAE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项目类型：默认空，从项目类型设置的表中多层级筛选</w:t>
      </w:r>
    </w:p>
    <w:p w14:paraId="263B9BDE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项目编码：</w:t>
      </w:r>
    </w:p>
    <w:p w14:paraId="555D01E2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是否被采纳：默认空，可选择是或是否</w:t>
      </w:r>
    </w:p>
    <w:p w14:paraId="4B4D4481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PC：采纳是有</w:t>
      </w:r>
      <w:r>
        <w:rPr>
          <w:rFonts w:hint="eastAsia" w:ascii="宋体" w:hAnsi="宋体" w:cs="宋体"/>
          <w:rtl w:val="0"/>
          <w:lang w:val="en-US" w:eastAsia="zh-CN"/>
        </w:rPr>
        <w:t>拆分和合并即被标记为“已采纳”，会存在已采纳但是未下发的情况</w:t>
      </w:r>
    </w:p>
    <w:p w14:paraId="1D77411E">
      <w:pPr>
        <w:rPr>
          <w:rFonts w:hint="eastAsia"/>
          <w:rtl w:val="0"/>
          <w:lang w:val="en-US" w:eastAsia="zh-CN"/>
        </w:rPr>
      </w:pPr>
    </w:p>
    <w:p w14:paraId="79757A46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列表：内部项目和外部项目tab，默认在内部项目</w:t>
      </w:r>
    </w:p>
    <w:p w14:paraId="039AEF83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——内部项目信息如下：</w:t>
      </w:r>
    </w:p>
    <w:p w14:paraId="4DC88ABE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项目编码</w:t>
      </w:r>
    </w:p>
    <w:p w14:paraId="63C1B88B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项目名称：标签显示“已采纳”</w:t>
      </w:r>
    </w:p>
    <w:p w14:paraId="779A2CD5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项目类型</w:t>
      </w:r>
    </w:p>
    <w:p w14:paraId="68CD6EDD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项目来源：申报项目，三方导入（三方导入前台未开放能力）</w:t>
      </w:r>
    </w:p>
    <w:p w14:paraId="2CB32933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负责人</w:t>
      </w:r>
    </w:p>
    <w:p w14:paraId="2F1B6662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项目金额（元）：有金额则显示，无金额为“-”</w:t>
      </w:r>
    </w:p>
    <w:p w14:paraId="6F90B11F">
      <w:pPr>
        <w:numPr>
          <w:ilvl w:val="0"/>
          <w:numId w:val="6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状态：未提交、待审核、已驳回、已通过</w:t>
      </w:r>
    </w:p>
    <w:p w14:paraId="5DFA2B58">
      <w:pPr>
        <w:numPr>
          <w:ilvl w:val="0"/>
          <w:numId w:val="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操作：已通过不允许操作，其他状态可见下方具体操作说明</w:t>
      </w:r>
    </w:p>
    <w:p w14:paraId="3909E1EC">
      <w:pPr>
        <w:numPr>
          <w:ilvl w:val="0"/>
          <w:numId w:val="0"/>
        </w:numPr>
        <w:rPr>
          <w:rFonts w:hint="eastAsia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5350510" cy="2301240"/>
            <wp:effectExtent l="0" t="0" r="13970" b="0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7056"/>
      </w:tblGrid>
      <w:tr w14:paraId="766F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7AED90E7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状态</w:t>
            </w:r>
          </w:p>
        </w:tc>
        <w:tc>
          <w:tcPr>
            <w:tcW w:w="7056" w:type="dxa"/>
          </w:tcPr>
          <w:p w14:paraId="711B0F8A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操作</w:t>
            </w:r>
          </w:p>
        </w:tc>
      </w:tr>
      <w:tr w14:paraId="5AB3B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5BE5AB6E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未提交</w:t>
            </w:r>
          </w:p>
        </w:tc>
        <w:tc>
          <w:tcPr>
            <w:tcW w:w="7056" w:type="dxa"/>
          </w:tcPr>
          <w:p w14:paraId="7F295088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【查看】【下载】</w:t>
            </w:r>
          </w:p>
        </w:tc>
      </w:tr>
      <w:tr w14:paraId="0616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590361F4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待审核</w:t>
            </w:r>
          </w:p>
        </w:tc>
        <w:tc>
          <w:tcPr>
            <w:tcW w:w="7056" w:type="dxa"/>
          </w:tcPr>
          <w:p w14:paraId="5D2439FD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【查看】【下载】【去审批】【拆分项目】【资金来源】【资金性质】</w:t>
            </w:r>
          </w:p>
        </w:tc>
      </w:tr>
      <w:tr w14:paraId="3BCAA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19F779C1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已驳回</w:t>
            </w:r>
          </w:p>
        </w:tc>
        <w:tc>
          <w:tcPr>
            <w:tcW w:w="7056" w:type="dxa"/>
          </w:tcPr>
          <w:p w14:paraId="1CA24FCA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【查看】【下载】</w:t>
            </w:r>
          </w:p>
        </w:tc>
      </w:tr>
      <w:tr w14:paraId="2BECA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3096E9FD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已通过</w:t>
            </w:r>
          </w:p>
        </w:tc>
        <w:tc>
          <w:tcPr>
            <w:tcW w:w="7056" w:type="dxa"/>
          </w:tcPr>
          <w:p w14:paraId="4232B793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——</w:t>
            </w:r>
          </w:p>
        </w:tc>
      </w:tr>
      <w:tr w14:paraId="6F3C5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168A44F7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已通过</w:t>
            </w:r>
          </w:p>
        </w:tc>
        <w:tc>
          <w:tcPr>
            <w:tcW w:w="7056" w:type="dxa"/>
          </w:tcPr>
          <w:p w14:paraId="62D89911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【查看】【下载】【资金来源】【资金性质】</w:t>
            </w:r>
          </w:p>
        </w:tc>
      </w:tr>
      <w:tr w14:paraId="40803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30295454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7056" w:type="dxa"/>
          </w:tcPr>
          <w:p w14:paraId="5C2B35B8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</w:pPr>
          </w:p>
        </w:tc>
      </w:tr>
    </w:tbl>
    <w:p w14:paraId="3C645AF1">
      <w:pPr>
        <w:numPr>
          <w:ilvl w:val="0"/>
          <w:numId w:val="0"/>
        </w:numPr>
        <w:rPr>
          <w:rFonts w:hint="eastAsia" w:ascii="宋体" w:hAnsi="宋体" w:cs="宋体"/>
          <w:b/>
          <w:bCs/>
          <w:rtl w:val="0"/>
          <w:lang w:val="en-US" w:eastAsia="zh-CN"/>
        </w:rPr>
      </w:pPr>
      <w:r>
        <w:rPr>
          <w:rFonts w:hint="eastAsia" w:ascii="宋体" w:hAnsi="宋体" w:cs="宋体"/>
          <w:b/>
          <w:bCs/>
          <w:rtl w:val="0"/>
          <w:lang w:val="en-US" w:eastAsia="zh-CN"/>
        </w:rPr>
        <w:t>——操作：拆分项目</w:t>
      </w:r>
    </w:p>
    <w:p w14:paraId="5EFF9833">
      <w:pPr>
        <w:numPr>
          <w:ilvl w:val="0"/>
          <w:numId w:val="0"/>
        </w:num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允许多次拆分，拆分的剩余金额</w:t>
      </w:r>
    </w:p>
    <w:p w14:paraId="4427CAE6">
      <w:pPr>
        <w:numPr>
          <w:ilvl w:val="0"/>
          <w:numId w:val="0"/>
        </w:numPr>
        <w:rPr>
          <w:rFonts w:hint="eastAsia" w:ascii="宋体" w:hAnsi="宋体" w:cs="宋体"/>
          <w:rtl w:val="0"/>
          <w:lang w:val="en-US" w:eastAsia="zh-CN"/>
        </w:rPr>
      </w:pPr>
    </w:p>
    <w:p w14:paraId="5C4E6B04">
      <w:pPr>
        <w:numPr>
          <w:ilvl w:val="0"/>
          <w:numId w:val="0"/>
        </w:numPr>
        <w:rPr>
          <w:rFonts w:hint="eastAsia" w:ascii="宋体" w:hAnsi="宋体" w:cs="宋体"/>
          <w:b/>
          <w:bCs/>
          <w:rtl w:val="0"/>
          <w:lang w:val="en-US" w:eastAsia="zh-CN"/>
        </w:rPr>
      </w:pPr>
      <w:r>
        <w:rPr>
          <w:rFonts w:hint="eastAsia" w:ascii="宋体" w:hAnsi="宋体" w:cs="宋体"/>
          <w:b/>
          <w:bCs/>
          <w:rtl w:val="0"/>
          <w:lang w:val="en-US" w:eastAsia="zh-CN"/>
        </w:rPr>
        <w:t>——操作：资金性质</w:t>
      </w:r>
    </w:p>
    <w:p w14:paraId="77947FFF">
      <w:pPr>
        <w:numPr>
          <w:ilvl w:val="0"/>
          <w:numId w:val="0"/>
        </w:numPr>
        <w:rPr>
          <w:rFonts w:hint="default" w:ascii="宋体" w:hAnsi="宋体" w:eastAsia="宋体" w:cs="宋体"/>
          <w:rtl w:val="0"/>
          <w:lang w:val="en-US" w:eastAsia="zh-CN"/>
        </w:rPr>
      </w:pPr>
      <w:r>
        <w:rPr>
          <w:rFonts w:hint="eastAsia"/>
          <w:lang w:val="en-US" w:eastAsia="zh-CN"/>
        </w:rPr>
        <w:t>目前没有做状态限制，都允许编辑，仅做记录</w:t>
      </w:r>
    </w:p>
    <w:p w14:paraId="657570C9">
      <w:pPr>
        <w:numPr>
          <w:ilvl w:val="0"/>
          <w:numId w:val="0"/>
        </w:num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按照事项列表展示</w:t>
      </w:r>
    </w:p>
    <w:p w14:paraId="5DB25365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事项：事项名称</w:t>
      </w:r>
    </w:p>
    <w:p w14:paraId="62B60E38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科目名称：申报的事项对应的科目名称</w:t>
      </w:r>
    </w:p>
    <w:p w14:paraId="31DB071E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科目金额（元）：</w:t>
      </w:r>
    </w:p>
    <w:p w14:paraId="19E9A8B1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一般公共预算资金（元）</w:t>
      </w:r>
    </w:p>
    <w:p w14:paraId="518219D3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政府性基金预算资金（元）</w:t>
      </w:r>
    </w:p>
    <w:p w14:paraId="144A3851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国有资本经营预算基金（元）</w:t>
      </w:r>
    </w:p>
    <w:p w14:paraId="726DE55F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校验：科目金额≥各资金性质总金额</w:t>
      </w:r>
    </w:p>
    <w:p w14:paraId="52465A2E">
      <w:pPr>
        <w:numPr>
          <w:ilvl w:val="0"/>
          <w:numId w:val="0"/>
        </w:num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505663"/>
          <w:spacing w:val="0"/>
          <w:sz w:val="16"/>
          <w:szCs w:val="16"/>
          <w:shd w:val="clear" w:fill="FDEAE8"/>
          <w:lang w:val="en-US" w:eastAsia="zh-CN"/>
        </w:rPr>
        <w:t>{</w:t>
      </w:r>
      <w:r>
        <w:rPr>
          <w:rFonts w:ascii="Segoe UI" w:hAnsi="Segoe UI" w:eastAsia="Segoe UI" w:cs="Segoe UI"/>
          <w:i w:val="0"/>
          <w:iCs w:val="0"/>
          <w:caps w:val="0"/>
          <w:color w:val="505663"/>
          <w:spacing w:val="0"/>
          <w:sz w:val="16"/>
          <w:szCs w:val="16"/>
          <w:shd w:val="clear" w:fill="FDEAE8"/>
        </w:rPr>
        <w:t>培训费</w:t>
      </w:r>
      <w:r>
        <w:rPr>
          <w:rFonts w:hint="eastAsia" w:ascii="Segoe UI" w:hAnsi="Segoe UI" w:eastAsia="宋体" w:cs="Segoe UI"/>
          <w:i w:val="0"/>
          <w:iCs w:val="0"/>
          <w:caps w:val="0"/>
          <w:color w:val="505663"/>
          <w:spacing w:val="0"/>
          <w:sz w:val="16"/>
          <w:szCs w:val="16"/>
          <w:shd w:val="clear" w:fill="FDEAE8"/>
          <w:lang w:val="en-US" w:eastAsia="zh-CN"/>
        </w:rPr>
        <w:t>}</w:t>
      </w:r>
      <w:r>
        <w:rPr>
          <w:rFonts w:ascii="Segoe UI" w:hAnsi="Segoe UI" w:eastAsia="Segoe UI" w:cs="Segoe UI"/>
          <w:i w:val="0"/>
          <w:iCs w:val="0"/>
          <w:caps w:val="0"/>
          <w:color w:val="505663"/>
          <w:spacing w:val="0"/>
          <w:sz w:val="16"/>
          <w:szCs w:val="16"/>
          <w:shd w:val="clear" w:fill="FDEAE8"/>
        </w:rPr>
        <w:t xml:space="preserve"> </w:t>
      </w:r>
      <w:r>
        <w:rPr>
          <w:rFonts w:hint="eastAsia" w:ascii="Segoe UI" w:hAnsi="Segoe UI" w:eastAsia="宋体" w:cs="Segoe UI"/>
          <w:i w:val="0"/>
          <w:iCs w:val="0"/>
          <w:caps w:val="0"/>
          <w:color w:val="505663"/>
          <w:spacing w:val="0"/>
          <w:sz w:val="16"/>
          <w:szCs w:val="16"/>
          <w:shd w:val="clear" w:fill="FDEAE8"/>
          <w:lang w:val="en-US" w:eastAsia="zh-CN"/>
        </w:rPr>
        <w:t>{</w:t>
      </w:r>
      <w:r>
        <w:rPr>
          <w:rFonts w:ascii="Segoe UI" w:hAnsi="Segoe UI" w:eastAsia="Segoe UI" w:cs="Segoe UI"/>
          <w:i w:val="0"/>
          <w:iCs w:val="0"/>
          <w:caps w:val="0"/>
          <w:color w:val="505663"/>
          <w:spacing w:val="0"/>
          <w:sz w:val="16"/>
          <w:szCs w:val="16"/>
          <w:shd w:val="clear" w:fill="FDEAE8"/>
        </w:rPr>
        <w:t>基本工资</w:t>
      </w:r>
      <w:r>
        <w:rPr>
          <w:rFonts w:hint="eastAsia" w:ascii="Segoe UI" w:hAnsi="Segoe UI" w:eastAsia="宋体" w:cs="Segoe UI"/>
          <w:i w:val="0"/>
          <w:iCs w:val="0"/>
          <w:caps w:val="0"/>
          <w:color w:val="505663"/>
          <w:spacing w:val="0"/>
          <w:sz w:val="16"/>
          <w:szCs w:val="16"/>
          <w:shd w:val="clear" w:fill="FDEAE8"/>
          <w:lang w:val="en-US" w:eastAsia="zh-CN"/>
        </w:rPr>
        <w:t>}</w:t>
      </w:r>
      <w:r>
        <w:rPr>
          <w:rFonts w:ascii="Segoe UI" w:hAnsi="Segoe UI" w:eastAsia="Segoe UI" w:cs="Segoe UI"/>
          <w:i w:val="0"/>
          <w:iCs w:val="0"/>
          <w:caps w:val="0"/>
          <w:color w:val="505663"/>
          <w:spacing w:val="0"/>
          <w:sz w:val="16"/>
          <w:szCs w:val="16"/>
          <w:shd w:val="clear" w:fill="FDEAE8"/>
        </w:rPr>
        <w:t>各资金性质总金额超过科目金额，请调整后再提交</w:t>
      </w:r>
    </w:p>
    <w:p w14:paraId="316CD90D">
      <w:pPr>
        <w:numPr>
          <w:ilvl w:val="0"/>
          <w:numId w:val="0"/>
        </w:numPr>
      </w:pPr>
      <w:r>
        <w:drawing>
          <wp:inline distT="0" distB="0" distL="114300" distR="114300">
            <wp:extent cx="5354320" cy="1629410"/>
            <wp:effectExtent l="0" t="0" r="10160" b="1270"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8456">
      <w:pPr>
        <w:numPr>
          <w:ilvl w:val="0"/>
          <w:numId w:val="0"/>
        </w:numPr>
      </w:pPr>
      <w:r>
        <w:drawing>
          <wp:inline distT="0" distB="0" distL="114300" distR="114300">
            <wp:extent cx="5354320" cy="1265555"/>
            <wp:effectExtent l="0" t="0" r="10160" b="14605"/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D9C3B">
      <w:pPr>
        <w:numPr>
          <w:ilvl w:val="0"/>
          <w:numId w:val="0"/>
        </w:num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56225" cy="1374140"/>
            <wp:effectExtent l="0" t="0" r="8255" b="12700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E820">
      <w:pPr>
        <w:numPr>
          <w:ilvl w:val="0"/>
          <w:numId w:val="0"/>
        </w:numPr>
        <w:rPr>
          <w:rFonts w:hint="eastAsia" w:ascii="宋体" w:hAnsi="宋体" w:cs="宋体"/>
          <w:b/>
          <w:bCs/>
          <w:rtl w:val="0"/>
          <w:lang w:val="en-US" w:eastAsia="zh-CN"/>
        </w:rPr>
      </w:pPr>
      <w:r>
        <w:rPr>
          <w:rFonts w:hint="eastAsia" w:ascii="宋体" w:hAnsi="宋体" w:cs="宋体"/>
          <w:b/>
          <w:bCs/>
          <w:rtl w:val="0"/>
          <w:lang w:val="en-US" w:eastAsia="zh-CN"/>
        </w:rPr>
        <w:t>——操作：资金来源</w:t>
      </w:r>
    </w:p>
    <w:p w14:paraId="6F040507">
      <w:pPr>
        <w:numPr>
          <w:ilvl w:val="0"/>
          <w:numId w:val="12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来源可自定义添加，来源名称不允许重复</w:t>
      </w:r>
    </w:p>
    <w:p w14:paraId="40D91666">
      <w:pPr>
        <w:numPr>
          <w:ilvl w:val="0"/>
          <w:numId w:val="12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添加的来源，可在来源分配中选择</w:t>
      </w:r>
    </w:p>
    <w:p w14:paraId="26210795">
      <w:pPr>
        <w:numPr>
          <w:ilvl w:val="0"/>
          <w:numId w:val="12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附件信息可自定义添加，金额暂无校验，仅做记录</w:t>
      </w:r>
    </w:p>
    <w:p w14:paraId="196F44F4">
      <w:pPr>
        <w:numPr>
          <w:ilvl w:val="0"/>
          <w:numId w:val="0"/>
        </w:numPr>
      </w:pPr>
      <w:r>
        <w:drawing>
          <wp:inline distT="0" distB="0" distL="114300" distR="114300">
            <wp:extent cx="5359400" cy="2475230"/>
            <wp:effectExtent l="0" t="0" r="5080" b="8890"/>
            <wp:docPr id="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CEE7">
      <w:pPr>
        <w:numPr>
          <w:ilvl w:val="0"/>
          <w:numId w:val="0"/>
        </w:num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63210" cy="3115310"/>
            <wp:effectExtent l="0" t="0" r="1270" b="8890"/>
            <wp:docPr id="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DE20">
      <w:pPr>
        <w:pStyle w:val="8"/>
        <w:tabs>
          <w:tab w:val="left" w:pos="864"/>
          <w:tab w:val="clear" w:pos="1152"/>
        </w:tabs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21" w:name="_Toc21239"/>
      <w:r>
        <w:rPr>
          <w:rFonts w:hint="eastAsia"/>
          <w:rtl w:val="0"/>
          <w:lang w:val="en-US" w:eastAsia="zh-CN"/>
        </w:rPr>
        <w:t>内外部项目和下发</w:t>
      </w:r>
      <w:bookmarkEnd w:id="21"/>
    </w:p>
    <w:p w14:paraId="436DA151">
      <w:pPr>
        <w:numPr>
          <w:ilvl w:val="0"/>
          <w:numId w:val="0"/>
        </w:num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勾选内部项目，可将内部项目转为外部项目</w:t>
      </w:r>
    </w:p>
    <w:p w14:paraId="3CB0B4EF">
      <w:pPr>
        <w:numPr>
          <w:ilvl w:val="0"/>
          <w:numId w:val="17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允许1:1转换，允许N:1转换</w:t>
      </w:r>
    </w:p>
    <w:p w14:paraId="0E15520F">
      <w:pPr>
        <w:numPr>
          <w:ilvl w:val="0"/>
          <w:numId w:val="17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转为外部项目后，在外部项目tab 下新增数据</w:t>
      </w:r>
    </w:p>
    <w:p w14:paraId="2B43C415">
      <w:pPr>
        <w:numPr>
          <w:ilvl w:val="0"/>
          <w:numId w:val="17"/>
        </w:numPr>
        <w:ind w:left="420" w:leftChars="0" w:hanging="420" w:firstLineChars="0"/>
      </w:pPr>
      <w:r>
        <w:rPr>
          <w:rFonts w:hint="eastAsia" w:ascii="宋体" w:hAnsi="宋体" w:cs="宋体"/>
          <w:rtl w:val="0"/>
          <w:lang w:val="en-US" w:eastAsia="zh-CN"/>
        </w:rPr>
        <w:t>已通过或是审批中的数据可转外部项目按钮</w:t>
      </w:r>
    </w:p>
    <w:p w14:paraId="094B24EF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点击转为外部项目，无二次确认，即可成功，数据合并后新增</w:t>
      </w:r>
    </w:p>
    <w:p w14:paraId="42350D99">
      <w:pPr>
        <w:numPr>
          <w:ilvl w:val="0"/>
          <w:numId w:val="0"/>
        </w:numPr>
        <w:rPr>
          <w:rFonts w:hint="eastAsia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5363210" cy="897890"/>
            <wp:effectExtent l="0" t="0" r="1270" b="1270"/>
            <wp:docPr id="3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056BD">
      <w:pPr>
        <w:numPr>
          <w:ilvl w:val="0"/>
          <w:numId w:val="0"/>
        </w:num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外部项目tab</w:t>
      </w:r>
    </w:p>
    <w:p w14:paraId="167D1DD3">
      <w:pPr>
        <w:numPr>
          <w:ilvl w:val="0"/>
          <w:numId w:val="17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转为外部项目的数据，都可查看</w:t>
      </w:r>
    </w:p>
    <w:p w14:paraId="0ECEED89">
      <w:pPr>
        <w:numPr>
          <w:ilvl w:val="0"/>
          <w:numId w:val="17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外部项目可设置是否有审批流，没有审批流，则转为的外部项目默认状态=已通过</w:t>
      </w:r>
    </w:p>
    <w:p w14:paraId="2A83C27B">
      <w:pPr>
        <w:numPr>
          <w:ilvl w:val="0"/>
          <w:numId w:val="0"/>
        </w:numPr>
        <w:rPr>
          <w:rFonts w:hint="eastAsia" w:ascii="宋体" w:hAnsi="宋体" w:cs="宋体"/>
          <w:rtl w:val="0"/>
          <w:lang w:val="en-US" w:eastAsia="zh-CN"/>
        </w:rPr>
      </w:pPr>
    </w:p>
    <w:p w14:paraId="5EFAC99E">
      <w:pPr>
        <w:numPr>
          <w:ilvl w:val="0"/>
          <w:numId w:val="0"/>
        </w:num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批量下发项目</w:t>
      </w:r>
    </w:p>
    <w:p w14:paraId="19BFD9B2">
      <w:pPr>
        <w:numPr>
          <w:ilvl w:val="0"/>
          <w:numId w:val="17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当年所有项目通过审批后，内部项目可批量下发</w:t>
      </w:r>
    </w:p>
    <w:p w14:paraId="0257D0E9">
      <w:pPr>
        <w:numPr>
          <w:ilvl w:val="0"/>
          <w:numId w:val="17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前提是内部项目需要全部转为外部项目，外部项目全部已通过审批，</w:t>
      </w:r>
    </w:p>
    <w:p w14:paraId="4EFC1242">
      <w:pPr>
        <w:numPr>
          <w:ilvl w:val="0"/>
          <w:numId w:val="0"/>
        </w:numPr>
        <w:rPr>
          <w:rFonts w:hint="eastAsia" w:ascii="宋体" w:hAnsi="宋体" w:cs="宋体"/>
          <w:rtl w:val="0"/>
          <w:lang w:val="en-US" w:eastAsia="zh-CN"/>
        </w:rPr>
      </w:pPr>
    </w:p>
    <w:p w14:paraId="45A9AFBE">
      <w:pPr>
        <w:pStyle w:val="6"/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22" w:name="_Toc20694"/>
      <w:r>
        <w:rPr>
          <w:rFonts w:hint="eastAsia"/>
          <w:rtl w:val="0"/>
          <w:lang w:val="en-US" w:eastAsia="zh-CN"/>
        </w:rPr>
        <w:t>项目库</w:t>
      </w:r>
      <w:bookmarkEnd w:id="22"/>
    </w:p>
    <w:p w14:paraId="66EAB680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项目预算申报通过后的项目，会落入到项目库中</w:t>
      </w:r>
    </w:p>
    <w:p w14:paraId="7F89C465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项目库有年份概念，因此项目预算科目余额结转时需要校验对应年份的项目库中，项目名称+编码已存在，否则不允许余额结转</w:t>
      </w:r>
    </w:p>
    <w:p w14:paraId="2A049AE6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60670" cy="685165"/>
            <wp:effectExtent l="0" t="0" r="3810" b="635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73D2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筛选：</w:t>
      </w:r>
    </w:p>
    <w:p w14:paraId="4A6529B1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预算年度：默认当年，支持筛选前后对应年份数据</w:t>
      </w:r>
    </w:p>
    <w:p w14:paraId="371F217D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项目类型：默认空，从自定义设置的项目类型中取值和展示，多级项目类型</w:t>
      </w:r>
    </w:p>
    <w:p w14:paraId="491EC1B0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项目编码：默认空，支持精确搜索</w:t>
      </w:r>
    </w:p>
    <w:p w14:paraId="3B9796E2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项目名称：默认空，支持精确搜索</w:t>
      </w:r>
    </w:p>
    <w:p w14:paraId="61CCE1FD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所属部门：默认空，从当前单位的组织树中获取</w:t>
      </w:r>
    </w:p>
    <w:p w14:paraId="27F079AE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状态：默认空，支持筛选未提交、待审批、已通过、已驳回、已清理、已结转、已结项</w:t>
      </w:r>
    </w:p>
    <w:p w14:paraId="3CDAC793">
      <w:pPr>
        <w:rPr>
          <w:rFonts w:hint="default"/>
          <w:rtl w:val="0"/>
          <w:lang w:val="en-US" w:eastAsia="zh-CN"/>
        </w:rPr>
      </w:pPr>
    </w:p>
    <w:p w14:paraId="6CABFAB0">
      <w:p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7495" cy="1459230"/>
            <wp:effectExtent l="0" t="0" r="6985" b="3810"/>
            <wp:docPr id="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0B29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列表信息：</w:t>
      </w:r>
    </w:p>
    <w:p w14:paraId="7A6EEA71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项目编码：系统默认生成，按照年份+四位随机数命名</w:t>
      </w:r>
    </w:p>
    <w:p w14:paraId="636F0526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项目名称：自定义生成</w:t>
      </w:r>
    </w:p>
    <w:p w14:paraId="7446C4CC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项目类型：可自定义设置</w:t>
      </w:r>
    </w:p>
    <w:p w14:paraId="4AEEDDDB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所属部门：按照选择的部门展示</w:t>
      </w:r>
    </w:p>
    <w:p w14:paraId="7E8946ED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负责人：为空则“-”显示</w:t>
      </w:r>
    </w:p>
    <w:p w14:paraId="35F41F34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项目金额（元）：正常展示</w:t>
      </w:r>
    </w:p>
    <w:p w14:paraId="444FD5CE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项目内容：</w:t>
      </w:r>
    </w:p>
    <w:p w14:paraId="317B4699">
      <w:pPr>
        <w:numPr>
          <w:ilvl w:val="0"/>
          <w:numId w:val="18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状态：</w:t>
      </w:r>
    </w:p>
    <w:p w14:paraId="29D454A8">
      <w:pPr>
        <w:numPr>
          <w:ilvl w:val="0"/>
          <w:numId w:val="1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操作：查看、编辑、删除</w:t>
      </w:r>
    </w:p>
    <w:p w14:paraId="2C62CB95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——编辑：未提交的草稿状态数据，允许编辑</w:t>
      </w:r>
    </w:p>
    <w:p w14:paraId="5DFE2E5D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——清理：项目不再需要则操作清理，清理时二次确认，清理完成状态变成“已清理”</w:t>
      </w:r>
    </w:p>
    <w:p w14:paraId="7890514D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——结项：项目已全部完结，操作结项后，若从一体化指标金额至内部项目，结项时存在余额，则会将余额返回一体化指标可拆分金额中，结项时二次确认，结项成功状态变成“已结项”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7078"/>
      </w:tblGrid>
      <w:tr w14:paraId="3977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D3DF85A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状态</w:t>
            </w:r>
          </w:p>
        </w:tc>
        <w:tc>
          <w:tcPr>
            <w:tcW w:w="7078" w:type="dxa"/>
          </w:tcPr>
          <w:p w14:paraId="6BB7918C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操作</w:t>
            </w:r>
          </w:p>
        </w:tc>
      </w:tr>
      <w:tr w14:paraId="0402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580738B8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rtl w:val="0"/>
                <w:lang w:val="en-US" w:eastAsia="zh-CN"/>
              </w:rPr>
              <w:t>未提交</w:t>
            </w:r>
          </w:p>
        </w:tc>
        <w:tc>
          <w:tcPr>
            <w:tcW w:w="7078" w:type="dxa"/>
          </w:tcPr>
          <w:p w14:paraId="20E56976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【查看】【编辑】【删除】</w:t>
            </w:r>
          </w:p>
        </w:tc>
      </w:tr>
      <w:tr w14:paraId="01DBF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16C0782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待审批</w:t>
            </w:r>
          </w:p>
        </w:tc>
        <w:tc>
          <w:tcPr>
            <w:tcW w:w="7078" w:type="dxa"/>
          </w:tcPr>
          <w:p w14:paraId="5B9D203B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【查看】</w:t>
            </w:r>
          </w:p>
        </w:tc>
      </w:tr>
      <w:tr w14:paraId="06FE2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auto"/>
            <w:vAlign w:val="top"/>
          </w:tcPr>
          <w:p w14:paraId="7961D3EF"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vertAlign w:val="baseline"/>
                <w:rtl w:val="0"/>
                <w:lang w:val="en-US" w:eastAsia="zh-CN" w:bidi="ar-SA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已通过</w:t>
            </w:r>
          </w:p>
        </w:tc>
        <w:tc>
          <w:tcPr>
            <w:tcW w:w="7078" w:type="dxa"/>
          </w:tcPr>
          <w:p w14:paraId="3B0AEA20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【查看】【清理】【结转】【结项】</w:t>
            </w:r>
          </w:p>
        </w:tc>
      </w:tr>
      <w:tr w14:paraId="5F7CD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auto"/>
            <w:vAlign w:val="top"/>
          </w:tcPr>
          <w:p w14:paraId="73F60085"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vertAlign w:val="baseline"/>
                <w:rtl w:val="0"/>
                <w:lang w:val="en-US" w:eastAsia="zh-CN" w:bidi="ar-SA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已驳回</w:t>
            </w:r>
          </w:p>
        </w:tc>
        <w:tc>
          <w:tcPr>
            <w:tcW w:w="7078" w:type="dxa"/>
          </w:tcPr>
          <w:p w14:paraId="1A4C6A99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【查看】【编辑】【删除】</w:t>
            </w:r>
          </w:p>
        </w:tc>
      </w:tr>
      <w:tr w14:paraId="082FB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D2048C7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已清理</w:t>
            </w:r>
          </w:p>
        </w:tc>
        <w:tc>
          <w:tcPr>
            <w:tcW w:w="7078" w:type="dxa"/>
          </w:tcPr>
          <w:p w14:paraId="6F81130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</w:p>
        </w:tc>
      </w:tr>
      <w:tr w14:paraId="6081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4E9F3683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已结转</w:t>
            </w:r>
          </w:p>
        </w:tc>
        <w:tc>
          <w:tcPr>
            <w:tcW w:w="7078" w:type="dxa"/>
          </w:tcPr>
          <w:p w14:paraId="6C775AE9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</w:p>
        </w:tc>
      </w:tr>
      <w:tr w14:paraId="2E0B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1ABF11EF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已结项</w:t>
            </w:r>
          </w:p>
        </w:tc>
        <w:tc>
          <w:tcPr>
            <w:tcW w:w="7078" w:type="dxa"/>
          </w:tcPr>
          <w:p w14:paraId="68CDABA4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</w:p>
        </w:tc>
      </w:tr>
    </w:tbl>
    <w:p w14:paraId="763F8315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——结转：因项目存在年度概念，跨年项目每年需要有预算项目，因此需要对项目进行结转，支持设置自动结转；</w:t>
      </w:r>
      <w:r>
        <w:rPr>
          <w:rFonts w:hint="eastAsia"/>
          <w:color w:val="C00000"/>
          <w:rtl w:val="0"/>
          <w:lang w:val="en-US" w:eastAsia="zh-CN"/>
        </w:rPr>
        <w:t>文旅厅项目不要开启自动结转，因为文旅厅的项目是在申报时自动创建，且每年都会走项目预算申报，因此不用自动结转</w:t>
      </w:r>
    </w:p>
    <w:p w14:paraId="19EE2A8D">
      <w:pPr>
        <w:rPr>
          <w:rFonts w:hint="default" w:ascii="宋体" w:hAnsi="宋体" w:cs="宋体"/>
          <w:rtl w:val="0"/>
          <w:lang w:val="en-US" w:eastAsia="zh-CN"/>
        </w:rPr>
      </w:pPr>
    </w:p>
    <w:p w14:paraId="0CC70964">
      <w:pPr>
        <w:pStyle w:val="6"/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23" w:name="_Toc22774"/>
      <w:r>
        <w:rPr>
          <w:rFonts w:hint="eastAsia"/>
          <w:rtl w:val="0"/>
          <w:lang w:val="en-US" w:eastAsia="zh-CN"/>
        </w:rPr>
        <w:t>预算执行管理</w:t>
      </w:r>
      <w:bookmarkEnd w:id="23"/>
    </w:p>
    <w:p w14:paraId="4747A393">
      <w:pPr>
        <w:pStyle w:val="7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24" w:name="_Toc32527"/>
      <w:r>
        <w:rPr>
          <w:rFonts w:hint="eastAsia"/>
          <w:rtl w:val="0"/>
          <w:lang w:val="en-US" w:eastAsia="zh-CN"/>
        </w:rPr>
        <w:t>预算执行表</w:t>
      </w:r>
      <w:bookmarkEnd w:id="24"/>
    </w:p>
    <w:p w14:paraId="26C18B2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预算下发后，所有来源的预算都可集中在预算执行表中查看，如三方编报完成数据、医疗预算编报数据、预算项目申报数据等</w:t>
      </w:r>
    </w:p>
    <w:p w14:paraId="169DA184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针对预算存在剩余金额的数据，可在预算执行表操作余额结转</w:t>
      </w:r>
    </w:p>
    <w:p w14:paraId="7256DEF5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提供多维护度查看执行表的方式，如下</w:t>
      </w:r>
    </w:p>
    <w:p w14:paraId="459C699F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Tab：项目列表、按项目汇总、按科目汇总、按部门汇总</w:t>
      </w:r>
    </w:p>
    <w:p w14:paraId="4800EA54">
      <w:r>
        <w:drawing>
          <wp:inline distT="0" distB="0" distL="114300" distR="114300">
            <wp:extent cx="5358130" cy="2369185"/>
            <wp:effectExtent l="0" t="0" r="6350" b="8255"/>
            <wp:docPr id="3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B272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项目列表：</w:t>
      </w:r>
      <w:r>
        <w:rPr>
          <w:rFonts w:hint="eastAsia"/>
          <w:lang w:val="en-US" w:eastAsia="zh-CN"/>
        </w:rPr>
        <w:t>仅展示项目的总数据</w:t>
      </w:r>
    </w:p>
    <w:p w14:paraId="319DE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筛选：</w:t>
      </w:r>
    </w:p>
    <w:p w14:paraId="74022C9F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预算年度：默认当年年份</w:t>
      </w:r>
    </w:p>
    <w:p w14:paraId="3AFD3885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项目名称：默认空，支持模糊搜索，支持从已填报项目中下拉选择</w:t>
      </w:r>
    </w:p>
    <w:p w14:paraId="56F298A8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填报部门：默认空，支持从已填报部门数据中筛选1个</w:t>
      </w:r>
    </w:p>
    <w:p w14:paraId="5006CA1D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列表：</w:t>
      </w:r>
    </w:p>
    <w:p w14:paraId="679A0601">
      <w:pPr>
        <w:rPr>
          <w:rFonts w:hint="eastAsia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5355590" cy="43497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5F86">
      <w:pPr>
        <w:rPr>
          <w:rFonts w:hint="eastAsia" w:ascii="宋体" w:hAnsi="宋体" w:cs="宋体"/>
          <w:rtl w:val="0"/>
          <w:lang w:val="en-US" w:eastAsia="zh-CN"/>
        </w:rPr>
      </w:pPr>
    </w:p>
    <w:p w14:paraId="608F2E54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按项目汇总：</w:t>
      </w:r>
      <w:r>
        <w:rPr>
          <w:rFonts w:hint="eastAsia"/>
          <w:lang w:val="en-US" w:eastAsia="zh-CN"/>
        </w:rPr>
        <w:t>展示项目的汇总数据（多个部门同一个项目可汇总查看）</w:t>
      </w:r>
    </w:p>
    <w:p w14:paraId="52831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筛选：</w:t>
      </w:r>
    </w:p>
    <w:p w14:paraId="397A735D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预算年度：默认当年年份</w:t>
      </w:r>
    </w:p>
    <w:p w14:paraId="449EBFCA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项目名称：默认空，支持模糊搜索，支持从已填报项目中下拉选择</w:t>
      </w:r>
    </w:p>
    <w:p w14:paraId="7256D297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科目名称：默认空，支持模糊搜索，支持下拉选择</w:t>
      </w:r>
    </w:p>
    <w:p w14:paraId="22A56ECF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科目分类：默认支出，支持切换支出和收入</w:t>
      </w:r>
    </w:p>
    <w:p w14:paraId="7EC4A59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列表：</w:t>
      </w:r>
    </w:p>
    <w:p w14:paraId="06BDEB42">
      <w:r>
        <w:drawing>
          <wp:inline distT="0" distB="0" distL="114300" distR="114300">
            <wp:extent cx="5358765" cy="441960"/>
            <wp:effectExtent l="0" t="0" r="571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2476">
      <w:pPr>
        <w:rPr>
          <w:rFonts w:hint="eastAsia"/>
          <w:rtl w:val="0"/>
          <w:lang w:val="en-US" w:eastAsia="zh-CN"/>
        </w:rPr>
      </w:pPr>
    </w:p>
    <w:p w14:paraId="2223C79C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按科目汇总：</w:t>
      </w:r>
      <w:r>
        <w:rPr>
          <w:rFonts w:hint="eastAsia"/>
          <w:lang w:val="en-US" w:eastAsia="zh-CN"/>
        </w:rPr>
        <w:t>展示科目的汇总数据（多个部门同科目可汇总查看）</w:t>
      </w:r>
    </w:p>
    <w:p w14:paraId="6C9B8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筛选：</w:t>
      </w:r>
    </w:p>
    <w:p w14:paraId="4EB663B5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预算年度：默认当年年份</w:t>
      </w:r>
    </w:p>
    <w:p w14:paraId="46D23722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科目名称：默认空，支持模糊搜索，支持下拉选择</w:t>
      </w:r>
    </w:p>
    <w:p w14:paraId="007E0CF7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科目分类：默认支出，支持切换支出和收入</w:t>
      </w:r>
    </w:p>
    <w:p w14:paraId="3967F318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列表：</w:t>
      </w:r>
    </w:p>
    <w:p w14:paraId="746E9A87">
      <w:r>
        <w:drawing>
          <wp:inline distT="0" distB="0" distL="114300" distR="114300">
            <wp:extent cx="5358765" cy="441960"/>
            <wp:effectExtent l="0" t="0" r="5715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8F66D">
      <w:pPr>
        <w:rPr>
          <w:rFonts w:hint="eastAsia"/>
          <w:highlight w:val="yellow"/>
          <w:lang w:val="en-US" w:eastAsia="zh-CN"/>
        </w:rPr>
      </w:pPr>
    </w:p>
    <w:p w14:paraId="3EDE92D9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按部门汇总：</w:t>
      </w:r>
      <w:r>
        <w:rPr>
          <w:rFonts w:hint="eastAsia"/>
          <w:lang w:val="en-US" w:eastAsia="zh-CN"/>
        </w:rPr>
        <w:t>展示填报部门的数据</w:t>
      </w:r>
    </w:p>
    <w:p w14:paraId="433FA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筛选：</w:t>
      </w:r>
    </w:p>
    <w:p w14:paraId="5340945D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预算年度：默认当年年份</w:t>
      </w:r>
    </w:p>
    <w:p w14:paraId="25408440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项目名称：默认空，支持模糊搜索，支持从已填报项目中下拉选择</w:t>
      </w:r>
    </w:p>
    <w:p w14:paraId="2C737028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科目名称：默认空，支持模糊搜索，支持下拉选择</w:t>
      </w:r>
    </w:p>
    <w:p w14:paraId="386F4E0A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填报部门：默认空，支持从已填报部门数据中筛选1个</w:t>
      </w:r>
    </w:p>
    <w:p w14:paraId="23D164CB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科目分类：默认支出，支持切换支出和收入</w:t>
      </w:r>
    </w:p>
    <w:p w14:paraId="1BE46F4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列表：</w:t>
      </w:r>
    </w:p>
    <w:p w14:paraId="6455A7A5">
      <w:r>
        <w:drawing>
          <wp:inline distT="0" distB="0" distL="114300" distR="114300">
            <wp:extent cx="5358765" cy="441960"/>
            <wp:effectExtent l="0" t="0" r="5715" b="0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FD65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详情：</w:t>
      </w:r>
    </w:p>
    <w:p w14:paraId="6BDB6B38">
      <w:p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2415" cy="2678430"/>
            <wp:effectExtent l="0" t="0" r="12065" b="3810"/>
            <wp:docPr id="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8E9C">
      <w:pPr>
        <w:rPr>
          <w:rFonts w:hint="eastAsia" w:ascii="宋体" w:hAnsi="宋体" w:cs="宋体"/>
          <w:rtl w:val="0"/>
          <w:lang w:val="en-US" w:eastAsia="zh-CN"/>
        </w:rPr>
      </w:pPr>
    </w:p>
    <w:p w14:paraId="5430A9EB">
      <w:pPr>
        <w:pStyle w:val="8"/>
        <w:tabs>
          <w:tab w:val="left" w:pos="864"/>
          <w:tab w:val="clear" w:pos="1152"/>
        </w:tabs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25" w:name="_Toc17995"/>
      <w:r>
        <w:rPr>
          <w:rFonts w:hint="eastAsia"/>
          <w:rtl w:val="0"/>
          <w:lang w:val="en-US" w:eastAsia="zh-CN"/>
        </w:rPr>
        <w:t>操作【数据同步】</w:t>
      </w:r>
      <w:bookmarkEnd w:id="25"/>
    </w:p>
    <w:p w14:paraId="22D722F7">
      <w:p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可将三方推送或是查询的预算数据更新全覆盖至浙里报，目前主要是衢州医疗预算同步（tips：系统将按照单位和调用接口进行配置）</w:t>
      </w:r>
    </w:p>
    <w:p w14:paraId="71EE122D">
      <w:pPr>
        <w:rPr>
          <w:rFonts w:hint="eastAsia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2933700" cy="1628775"/>
            <wp:effectExtent l="0" t="0" r="7620" b="1905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A66B1">
      <w:pPr>
        <w:pStyle w:val="8"/>
        <w:tabs>
          <w:tab w:val="left" w:pos="864"/>
          <w:tab w:val="clear" w:pos="1152"/>
        </w:tabs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26" w:name="_Toc9522"/>
      <w:r>
        <w:rPr>
          <w:rFonts w:hint="eastAsia"/>
          <w:rtl w:val="0"/>
          <w:lang w:val="en-US" w:eastAsia="zh-CN"/>
        </w:rPr>
        <w:t>操作【预算余额结转】</w:t>
      </w:r>
      <w:bookmarkEnd w:id="26"/>
    </w:p>
    <w:p w14:paraId="761EF86C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预算执行过程中，存在执行率＜100%的情况，跨年后，还需要将预算继续使用和消耗，此时需要财务手动进行预算余额结转，并且确定需要结转的金额，结转成功后，在当年会增加结转的数据。一体化内外部项目对应时，结转的预算需要对应一体化结转的指标。</w:t>
      </w:r>
    </w:p>
    <w:p w14:paraId="3F036EF9">
      <w:pPr>
        <w:rPr>
          <w:rFonts w:hint="eastAsia" w:ascii="宋体" w:hAnsi="宋体" w:cs="宋体"/>
          <w:b/>
          <w:bCs/>
          <w:rtl w:val="0"/>
          <w:lang w:val="en-US" w:eastAsia="zh-CN"/>
        </w:rPr>
      </w:pPr>
      <w:r>
        <w:rPr>
          <w:rFonts w:hint="eastAsia" w:ascii="宋体" w:hAnsi="宋体" w:cs="宋体"/>
          <w:b/>
          <w:bCs/>
          <w:rtl w:val="0"/>
          <w:lang w:val="en-US" w:eastAsia="zh-CN"/>
        </w:rPr>
        <w:t>预算余额结转的前置校验：</w:t>
      </w:r>
    </w:p>
    <w:p w14:paraId="37C45323">
      <w:pPr>
        <w:numPr>
          <w:ilvl w:val="0"/>
          <w:numId w:val="2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当年还未结束，不能结转，报错提示“</w:t>
      </w:r>
      <w:r>
        <w:rPr>
          <w:rFonts w:ascii="PingFangSC-Regular" w:hAnsi="PingFangSC-Regular" w:eastAsia="PingFangSC-Regular" w:cs="PingFangSC-Regular"/>
          <w:i w:val="0"/>
          <w:iCs w:val="0"/>
          <w:caps w:val="0"/>
          <w:color w:val="242F57"/>
          <w:spacing w:val="0"/>
          <w:sz w:val="16"/>
          <w:szCs w:val="16"/>
          <w:shd w:val="clear" w:fill="FFFFFF"/>
        </w:rPr>
        <w:t>2026年还未结束不支持结转，可操作当前年份之前的数据</w:t>
      </w:r>
      <w:r>
        <w:rPr>
          <w:rFonts w:hint="eastAsia" w:ascii="宋体" w:hAnsi="宋体" w:cs="宋体"/>
          <w:rtl w:val="0"/>
          <w:lang w:val="en-US" w:eastAsia="zh-CN"/>
        </w:rPr>
        <w:t>”</w:t>
      </w:r>
    </w:p>
    <w:p w14:paraId="5BB2D0AB">
      <w:pPr>
        <w:numPr>
          <w:ilvl w:val="0"/>
          <w:numId w:val="2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项目已完结，则对应预算项目就算有余额，也不允许结转</w:t>
      </w:r>
    </w:p>
    <w:p w14:paraId="054399B8">
      <w:pPr>
        <w:numPr>
          <w:ilvl w:val="0"/>
          <w:numId w:val="2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结转后需要校验对应结转年份，预算项目、预算科目、费用项都需要有才行，若不存在则报错提示“</w:t>
      </w:r>
      <w:r>
        <w:rPr>
          <w:rFonts w:ascii="微软雅黑" w:hAnsi="微软雅黑" w:eastAsia="微软雅黑" w:cs="微软雅黑"/>
          <w:i w:val="0"/>
          <w:iCs w:val="0"/>
          <w:caps w:val="0"/>
          <w:color w:val="898989"/>
          <w:spacing w:val="0"/>
          <w:sz w:val="16"/>
          <w:szCs w:val="16"/>
          <w:shd w:val="clear" w:fill="FFFFFF"/>
        </w:rPr>
        <w:t>结转失败：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98989"/>
          <w:spacing w:val="0"/>
          <w:sz w:val="16"/>
          <w:szCs w:val="16"/>
          <w:shd w:val="clear" w:fill="FFFFFF"/>
          <w:lang w:val="en-US" w:eastAsia="zh-CN"/>
        </w:rPr>
        <w:t>{</w:t>
      </w:r>
      <w:r>
        <w:rPr>
          <w:rFonts w:ascii="微软雅黑" w:hAnsi="微软雅黑" w:eastAsia="微软雅黑" w:cs="微软雅黑"/>
          <w:i w:val="0"/>
          <w:iCs w:val="0"/>
          <w:caps w:val="0"/>
          <w:color w:val="898989"/>
          <w:spacing w:val="0"/>
          <w:sz w:val="16"/>
          <w:szCs w:val="16"/>
          <w:shd w:val="clear" w:fill="FFFFFF"/>
        </w:rPr>
        <w:t>2026年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98989"/>
          <w:spacing w:val="0"/>
          <w:sz w:val="16"/>
          <w:szCs w:val="16"/>
          <w:shd w:val="clear" w:fill="FFFFFF"/>
          <w:lang w:val="en-US" w:eastAsia="zh-CN"/>
        </w:rPr>
        <w:t>}{</w:t>
      </w:r>
      <w:r>
        <w:rPr>
          <w:rFonts w:ascii="微软雅黑" w:hAnsi="微软雅黑" w:eastAsia="微软雅黑" w:cs="微软雅黑"/>
          <w:i w:val="0"/>
          <w:iCs w:val="0"/>
          <w:caps w:val="0"/>
          <w:color w:val="898989"/>
          <w:spacing w:val="0"/>
          <w:sz w:val="16"/>
          <w:szCs w:val="16"/>
          <w:shd w:val="clear" w:fill="FFFFFF"/>
        </w:rPr>
        <w:t>数字化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98989"/>
          <w:spacing w:val="0"/>
          <w:sz w:val="16"/>
          <w:szCs w:val="16"/>
          <w:shd w:val="clear" w:fill="FFFFFF"/>
          <w:lang w:val="en-US" w:eastAsia="zh-CN"/>
        </w:rPr>
        <w:t>}</w:t>
      </w:r>
      <w:r>
        <w:rPr>
          <w:rFonts w:ascii="微软雅黑" w:hAnsi="微软雅黑" w:eastAsia="微软雅黑" w:cs="微软雅黑"/>
          <w:i w:val="0"/>
          <w:iCs w:val="0"/>
          <w:caps w:val="0"/>
          <w:color w:val="898989"/>
          <w:spacing w:val="0"/>
          <w:sz w:val="16"/>
          <w:szCs w:val="16"/>
          <w:shd w:val="clear" w:fill="FFFFFF"/>
        </w:rPr>
        <w:t>项目不存在，请先结转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98989"/>
          <w:spacing w:val="0"/>
          <w:sz w:val="16"/>
          <w:szCs w:val="16"/>
          <w:shd w:val="clear" w:fill="FFFFFF"/>
          <w:lang w:val="en-US" w:eastAsia="zh-CN"/>
        </w:rPr>
        <w:t>或申报{数字化}项目</w:t>
      </w:r>
      <w:r>
        <w:rPr>
          <w:rFonts w:ascii="微软雅黑" w:hAnsi="微软雅黑" w:eastAsia="微软雅黑" w:cs="微软雅黑"/>
          <w:i w:val="0"/>
          <w:iCs w:val="0"/>
          <w:caps w:val="0"/>
          <w:color w:val="898989"/>
          <w:spacing w:val="0"/>
          <w:sz w:val="16"/>
          <w:szCs w:val="16"/>
          <w:shd w:val="clear" w:fill="FFFFFF"/>
        </w:rPr>
        <w:t>后再操作</w:t>
      </w:r>
      <w:r>
        <w:rPr>
          <w:rFonts w:hint="eastAsia" w:ascii="宋体" w:hAnsi="宋体" w:cs="宋体"/>
          <w:rtl w:val="0"/>
          <w:lang w:val="en-US" w:eastAsia="zh-CN"/>
        </w:rPr>
        <w:t>”</w:t>
      </w:r>
    </w:p>
    <w:p w14:paraId="782BB8FF">
      <w:pPr>
        <w:rPr>
          <w:rFonts w:hint="eastAsia" w:ascii="宋体" w:hAnsi="宋体" w:cs="宋体"/>
          <w:b/>
          <w:bCs/>
          <w:rtl w:val="0"/>
          <w:lang w:val="en-US" w:eastAsia="zh-CN"/>
        </w:rPr>
      </w:pPr>
      <w:r>
        <w:rPr>
          <w:rFonts w:hint="eastAsia" w:ascii="宋体" w:hAnsi="宋体" w:cs="宋体"/>
          <w:b/>
          <w:bCs/>
          <w:rtl w:val="0"/>
          <w:lang w:val="en-US" w:eastAsia="zh-CN"/>
        </w:rPr>
        <w:t>预算余额结转：</w:t>
      </w:r>
    </w:p>
    <w:p w14:paraId="6C7F2207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筛选：</w:t>
      </w:r>
    </w:p>
    <w:p w14:paraId="206628A6">
      <w:pPr>
        <w:numPr>
          <w:ilvl w:val="0"/>
          <w:numId w:val="2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项目名称：默认空，支持模糊搜索</w:t>
      </w:r>
    </w:p>
    <w:p w14:paraId="286B3A75">
      <w:pPr>
        <w:numPr>
          <w:ilvl w:val="0"/>
          <w:numId w:val="2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事项名称：默认空，支持模糊搜索</w:t>
      </w:r>
    </w:p>
    <w:p w14:paraId="368444BC">
      <w:pPr>
        <w:numPr>
          <w:ilvl w:val="0"/>
          <w:numId w:val="2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预算科目：默认空，支持模糊搜索</w:t>
      </w:r>
    </w:p>
    <w:p w14:paraId="04FAED47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列表：</w:t>
      </w:r>
    </w:p>
    <w:p w14:paraId="244F6157">
      <w:pPr>
        <w:numPr>
          <w:ilvl w:val="0"/>
          <w:numId w:val="2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项目名称：</w:t>
      </w:r>
    </w:p>
    <w:p w14:paraId="1C197622">
      <w:pPr>
        <w:numPr>
          <w:ilvl w:val="0"/>
          <w:numId w:val="2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填报部门：</w:t>
      </w:r>
    </w:p>
    <w:p w14:paraId="47431A90">
      <w:pPr>
        <w:numPr>
          <w:ilvl w:val="0"/>
          <w:numId w:val="2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事项名称：</w:t>
      </w:r>
    </w:p>
    <w:p w14:paraId="41D19801">
      <w:pPr>
        <w:numPr>
          <w:ilvl w:val="0"/>
          <w:numId w:val="2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费用项</w:t>
      </w:r>
    </w:p>
    <w:p w14:paraId="46C8ABB2">
      <w:pPr>
        <w:numPr>
          <w:ilvl w:val="0"/>
          <w:numId w:val="2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预算科目</w:t>
      </w:r>
    </w:p>
    <w:p w14:paraId="4E9B9752">
      <w:pPr>
        <w:numPr>
          <w:ilvl w:val="0"/>
          <w:numId w:val="2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预算金额（元）：</w:t>
      </w:r>
    </w:p>
    <w:p w14:paraId="186FFF3D">
      <w:pPr>
        <w:numPr>
          <w:ilvl w:val="0"/>
          <w:numId w:val="2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已使用金额（元）：</w:t>
      </w:r>
    </w:p>
    <w:p w14:paraId="7D04EEA6">
      <w:pPr>
        <w:numPr>
          <w:ilvl w:val="0"/>
          <w:numId w:val="2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剩余可用金额（元）：</w:t>
      </w:r>
    </w:p>
    <w:p w14:paraId="704F09E9">
      <w:pPr>
        <w:numPr>
          <w:ilvl w:val="0"/>
          <w:numId w:val="2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已结转金额（元）：默认已结转金额=0</w:t>
      </w:r>
    </w:p>
    <w:p w14:paraId="7738BD86">
      <w:pPr>
        <w:numPr>
          <w:ilvl w:val="0"/>
          <w:numId w:val="20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本次结转金额（元）：本次结转金额=剩余可用金额-已结转金额；结转一次后，将本次结转金额录入到已结转金额中，二次操作结转时，同理</w:t>
      </w:r>
    </w:p>
    <w:p w14:paraId="03CDD36B">
      <w:pPr>
        <w:rPr>
          <w:rFonts w:hint="eastAsia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5358765" cy="4256405"/>
            <wp:effectExtent l="0" t="0" r="5715" b="10795"/>
            <wp:docPr id="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5C6C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勾选多个或是1条数据，允许结转多次，结转后记录预算年份打上，比如预算剩余在2024年，在2026年操作结转，则2026年的执行表增加一条数据，打标显示“2025年结转”</w:t>
      </w:r>
    </w:p>
    <w:p w14:paraId="347DE027">
      <w:pPr>
        <w:numPr>
          <w:ilvl w:val="0"/>
          <w:numId w:val="2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若结转的科目有剩余，允许再被结转</w:t>
      </w:r>
    </w:p>
    <w:p w14:paraId="07102692">
      <w:pPr>
        <w:numPr>
          <w:ilvl w:val="0"/>
          <w:numId w:val="20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结转的科目在预算执行表有标签做区分，在报销单使用时，末级科目也做打标区分</w:t>
      </w:r>
    </w:p>
    <w:p w14:paraId="3C160125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结转时二次提醒，确认后完成结转</w:t>
      </w:r>
    </w:p>
    <w:p w14:paraId="0D8C43B1">
      <w:pPr>
        <w:rPr>
          <w:rFonts w:hint="eastAsia" w:ascii="宋体" w:hAnsi="宋体" w:cs="宋体"/>
          <w:rtl w:val="0"/>
          <w:lang w:val="en-US" w:eastAsia="zh-CN"/>
        </w:rPr>
      </w:pPr>
    </w:p>
    <w:p w14:paraId="5BDB97C3">
      <w:p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预算执行表：可在项目下查看到“20205年结转”的科目数据，因此会存在相同科目，一个有“2025年结转”一个没有结转标识，没有结转标识是当年新增的科目</w:t>
      </w:r>
    </w:p>
    <w:p w14:paraId="65A20B07">
      <w:pPr>
        <w:rPr>
          <w:rFonts w:hint="default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5350510" cy="2112010"/>
            <wp:effectExtent l="0" t="0" r="13970" b="6350"/>
            <wp:docPr id="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B478">
      <w:pPr>
        <w:pStyle w:val="7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27" w:name="_Toc1816"/>
      <w:r>
        <w:rPr>
          <w:rFonts w:hint="eastAsia"/>
          <w:rtl w:val="0"/>
          <w:lang w:val="en-US" w:eastAsia="zh-CN"/>
        </w:rPr>
        <w:t>预算追加追减</w:t>
      </w:r>
      <w:bookmarkEnd w:id="27"/>
    </w:p>
    <w:p w14:paraId="12E10B0E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在预算执行过程中，若预算项目金额不足或是因政策原因需要减少预算，可通过操作“预算追加追减”实现</w:t>
      </w:r>
    </w:p>
    <w:p w14:paraId="5E76FC27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筛选栏：</w:t>
      </w:r>
    </w:p>
    <w:p w14:paraId="03EB1FC2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预算年度：默认当年</w:t>
      </w:r>
    </w:p>
    <w:p w14:paraId="7A43DF1D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单号：默认空，支持精确搜索</w:t>
      </w:r>
    </w:p>
    <w:p w14:paraId="2B17FA5E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事由：默认空，支持模糊搜索</w:t>
      </w:r>
    </w:p>
    <w:p w14:paraId="5A0440D8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登记时间：默认空，可输入起止时间，年月日</w:t>
      </w:r>
    </w:p>
    <w:p w14:paraId="1AB0FD21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状态：默认空，支持选择未提交、审批中、已驳回、已完成的数据</w:t>
      </w:r>
    </w:p>
    <w:p w14:paraId="56E82A13">
      <w:pPr>
        <w:numPr>
          <w:ilvl w:val="0"/>
          <w:numId w:val="21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调整类型：默认空，支持选择预算追加、预算追减的数据</w:t>
      </w:r>
    </w:p>
    <w:p w14:paraId="6E99494A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列表：</w:t>
      </w:r>
    </w:p>
    <w:p w14:paraId="611372D5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单据编号</w:t>
      </w:r>
    </w:p>
    <w:p w14:paraId="6DD1D1B5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调整类型：预算追加、预算追减</w:t>
      </w:r>
    </w:p>
    <w:p w14:paraId="240ABC76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科目类型</w:t>
      </w:r>
    </w:p>
    <w:p w14:paraId="3ED42ED0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调整事由</w:t>
      </w:r>
    </w:p>
    <w:p w14:paraId="40CF2183">
      <w:pPr>
        <w:numPr>
          <w:ilvl w:val="0"/>
          <w:numId w:val="21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调整金额（元）</w:t>
      </w:r>
    </w:p>
    <w:p w14:paraId="55B52AE8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发起人</w:t>
      </w:r>
    </w:p>
    <w:p w14:paraId="03B62C9F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发起时间</w:t>
      </w:r>
    </w:p>
    <w:p w14:paraId="0A11749F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状态</w:t>
      </w:r>
    </w:p>
    <w:p w14:paraId="687CB59E">
      <w:pPr>
        <w:numPr>
          <w:ilvl w:val="0"/>
          <w:numId w:val="21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操作：详情、编辑、删除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7363"/>
      </w:tblGrid>
      <w:tr w14:paraId="3CA79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9" w:type="dxa"/>
          </w:tcPr>
          <w:p w14:paraId="19DC05C8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状态</w:t>
            </w:r>
          </w:p>
        </w:tc>
        <w:tc>
          <w:tcPr>
            <w:tcW w:w="7363" w:type="dxa"/>
          </w:tcPr>
          <w:p w14:paraId="62DEC666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操作</w:t>
            </w:r>
          </w:p>
        </w:tc>
      </w:tr>
      <w:tr w14:paraId="6556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9" w:type="dxa"/>
          </w:tcPr>
          <w:p w14:paraId="51A7C08B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未提交</w:t>
            </w:r>
          </w:p>
        </w:tc>
        <w:tc>
          <w:tcPr>
            <w:tcW w:w="7363" w:type="dxa"/>
          </w:tcPr>
          <w:p w14:paraId="39F2DB88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【详情】【编辑】【删除】</w:t>
            </w:r>
          </w:p>
        </w:tc>
      </w:tr>
      <w:tr w14:paraId="7953B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9" w:type="dxa"/>
          </w:tcPr>
          <w:p w14:paraId="61605E3D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已驳回</w:t>
            </w:r>
          </w:p>
        </w:tc>
        <w:tc>
          <w:tcPr>
            <w:tcW w:w="7363" w:type="dxa"/>
          </w:tcPr>
          <w:p w14:paraId="617C85AC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【详情】</w:t>
            </w:r>
          </w:p>
        </w:tc>
      </w:tr>
      <w:tr w14:paraId="1A531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9" w:type="dxa"/>
          </w:tcPr>
          <w:p w14:paraId="6AE9B7FE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已完成</w:t>
            </w:r>
          </w:p>
        </w:tc>
        <w:tc>
          <w:tcPr>
            <w:tcW w:w="7363" w:type="dxa"/>
          </w:tcPr>
          <w:p w14:paraId="295932A5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【详情】</w:t>
            </w:r>
          </w:p>
        </w:tc>
      </w:tr>
      <w:tr w14:paraId="1340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9" w:type="dxa"/>
          </w:tcPr>
          <w:p w14:paraId="5DDD86BB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审批中</w:t>
            </w:r>
          </w:p>
        </w:tc>
        <w:tc>
          <w:tcPr>
            <w:tcW w:w="7363" w:type="dxa"/>
          </w:tcPr>
          <w:p w14:paraId="00831BFE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【详情】</w:t>
            </w:r>
          </w:p>
        </w:tc>
      </w:tr>
    </w:tbl>
    <w:p w14:paraId="24892E44">
      <w:pPr>
        <w:numPr>
          <w:ilvl w:val="0"/>
          <w:numId w:val="0"/>
        </w:numPr>
        <w:ind w:leftChars="0"/>
        <w:rPr>
          <w:rFonts w:hint="default" w:ascii="宋体" w:hAnsi="宋体" w:cs="宋体"/>
          <w:rtl w:val="0"/>
          <w:lang w:val="en-US" w:eastAsia="zh-CN"/>
        </w:rPr>
      </w:pPr>
    </w:p>
    <w:p w14:paraId="234AEB10">
      <w:r>
        <w:drawing>
          <wp:inline distT="0" distB="0" distL="114300" distR="114300">
            <wp:extent cx="5354320" cy="2235835"/>
            <wp:effectExtent l="0" t="0" r="10160" b="444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0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追加追减申请</w:t>
      </w:r>
    </w:p>
    <w:p w14:paraId="691B19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1、选择预算年份、调整类型、科目、预算部门</w:t>
      </w:r>
    </w:p>
    <w:p w14:paraId="385F4F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按照选择的内容中对应年份预算项目信息</w:t>
      </w:r>
    </w:p>
    <w:p w14:paraId="68227901">
      <w:r>
        <w:drawing>
          <wp:inline distT="0" distB="0" distL="114300" distR="114300">
            <wp:extent cx="5360670" cy="3815080"/>
            <wp:effectExtent l="0" t="0" r="3810" b="1016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D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2、追减追减信息填写：</w:t>
      </w:r>
    </w:p>
    <w:p w14:paraId="28D44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（不对外：非百搭搭建，因此字段不方便调整，审批流配置的时候需要留意）</w:t>
      </w:r>
    </w:p>
    <w:p w14:paraId="77073C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1）基本信息</w:t>
      </w:r>
    </w:p>
    <w:p w14:paraId="09C287B9">
      <w:pPr>
        <w:numPr>
          <w:ilvl w:val="0"/>
          <w:numId w:val="2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调整事由：必填</w:t>
      </w:r>
    </w:p>
    <w:p w14:paraId="7029E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2）调整信息</w:t>
      </w:r>
    </w:p>
    <w:p w14:paraId="6F6750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120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32323"/>
          <w:spacing w:val="0"/>
          <w:sz w:val="16"/>
          <w:szCs w:val="16"/>
        </w:rPr>
      </w:pPr>
      <w:r>
        <w:rPr>
          <w:rFonts w:hint="eastAsia"/>
          <w:lang w:val="en-US" w:eastAsia="zh-CN"/>
        </w:rPr>
        <w:t>展示前面内容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C97BA"/>
          <w:spacing w:val="0"/>
          <w:kern w:val="0"/>
          <w:sz w:val="16"/>
          <w:szCs w:val="16"/>
          <w:shd w:val="clear" w:fill="FFFFFF"/>
          <w:lang w:val="en-US" w:eastAsia="zh-CN" w:bidi="ar"/>
        </w:rPr>
        <w:t>预算年度：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42F57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2026年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C97BA"/>
          <w:spacing w:val="0"/>
          <w:kern w:val="0"/>
          <w:sz w:val="16"/>
          <w:szCs w:val="16"/>
          <w:shd w:val="clear" w:fill="FFFFFF"/>
          <w:lang w:val="en-US" w:eastAsia="zh-CN" w:bidi="ar"/>
        </w:rPr>
        <w:t>科目类型：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42F57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支出科目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C97BA"/>
          <w:spacing w:val="0"/>
          <w:kern w:val="0"/>
          <w:sz w:val="16"/>
          <w:szCs w:val="16"/>
          <w:shd w:val="clear" w:fill="FFFFFF"/>
          <w:lang w:val="en-US" w:eastAsia="zh-CN" w:bidi="ar"/>
        </w:rPr>
        <w:t>预算部门：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42F57"/>
          <w:spacing w:val="0"/>
          <w:kern w:val="0"/>
          <w:sz w:val="16"/>
          <w:szCs w:val="16"/>
          <w:shd w:val="clear" w:fill="FFFFFF"/>
          <w:lang w:val="en-US" w:eastAsia="zh-CN" w:bidi="ar"/>
        </w:rPr>
        <w:t>办公室（测试）0513</w:t>
      </w:r>
    </w:p>
    <w:p w14:paraId="6B0B9FAA">
      <w:pPr>
        <w:numPr>
          <w:ilvl w:val="0"/>
          <w:numId w:val="2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两种展示形式，若是通过模板编报所得的（没有事项）则列表不展示事项、费用项；若是文旅厅编报模式的，列表展示事项、费用项信息-------通过后台的“预算项目控制”列表是否有数据来区分使用哪种效果，减少无事项填报单位，追加追减时的疑问</w:t>
      </w:r>
    </w:p>
    <w:p w14:paraId="252E008D">
      <w:pPr>
        <w:numPr>
          <w:ilvl w:val="0"/>
          <w:numId w:val="2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项目：从当年预算项目表中获取全部的预算项目信息</w:t>
      </w:r>
    </w:p>
    <w:p w14:paraId="69DCD7FF">
      <w:pPr>
        <w:numPr>
          <w:ilvl w:val="0"/>
          <w:numId w:val="2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事项名称：从预算配置的事项表中获取全部的事项名称</w:t>
      </w:r>
    </w:p>
    <w:p w14:paraId="446068C0">
      <w:pPr>
        <w:numPr>
          <w:ilvl w:val="0"/>
          <w:numId w:val="2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费用项：从预算配置的费用项中获取全部的费用项名称</w:t>
      </w:r>
    </w:p>
    <w:p w14:paraId="2EA10897">
      <w:pPr>
        <w:numPr>
          <w:ilvl w:val="0"/>
          <w:numId w:val="21"/>
        </w:numPr>
        <w:ind w:left="420" w:leftChars="0" w:hanging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--------注意：调整时存在有些项目的事项有输入框，有些事项不允许填入事项；主要原因是在后台单位下，预算管理中针对某些项目做了管控，没有事项时，调剂也不允许添加事项</w:t>
      </w:r>
    </w:p>
    <w:p w14:paraId="32CC2A5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58130" cy="1538605"/>
            <wp:effectExtent l="0" t="0" r="6350" b="635"/>
            <wp:docPr id="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EB4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356860" cy="2668270"/>
            <wp:effectExtent l="0" t="0" r="7620" b="13970"/>
            <wp:docPr id="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1686">
      <w:pPr>
        <w:numPr>
          <w:ilvl w:val="0"/>
          <w:numId w:val="2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支出科目：根据前面设置的支出或是收入科目展示，从当年的科目表中找收入或是支出的全量数据</w:t>
      </w:r>
    </w:p>
    <w:p w14:paraId="2D4BCD77">
      <w:pPr>
        <w:numPr>
          <w:ilvl w:val="0"/>
          <w:numId w:val="2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调整前可用金额（元）：</w:t>
      </w:r>
    </w:p>
    <w:p w14:paraId="03DC6930">
      <w:pPr>
        <w:numPr>
          <w:ilvl w:val="0"/>
          <w:numId w:val="2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申请追加金额（元）：</w:t>
      </w:r>
    </w:p>
    <w:p w14:paraId="4D083869">
      <w:pPr>
        <w:numPr>
          <w:ilvl w:val="0"/>
          <w:numId w:val="2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调整后可用金额（元）：</w:t>
      </w:r>
    </w:p>
    <w:p w14:paraId="75072A29">
      <w:pPr>
        <w:numPr>
          <w:ilvl w:val="0"/>
          <w:numId w:val="2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操作：允许添加多行，允许删除行</w:t>
      </w:r>
    </w:p>
    <w:p w14:paraId="09AF02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3）附件信息：非必填</w:t>
      </w:r>
    </w:p>
    <w:p w14:paraId="6BD4F4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4）审批流：可自定义设置审批流（非百搭审批流）</w:t>
      </w:r>
    </w:p>
    <w:p w14:paraId="7825E6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校验：存在进行中的，不允许继续追减或是追减，报错提示“</w:t>
      </w:r>
      <w:r>
        <w:rPr>
          <w:rFonts w:ascii="PingFangSC-Regular" w:hAnsi="PingFangSC-Regular" w:eastAsia="PingFangSC-Regular" w:cs="PingFangSC-Regular"/>
          <w:i w:val="0"/>
          <w:iCs w:val="0"/>
          <w:caps w:val="0"/>
          <w:color w:val="242F57"/>
          <w:spacing w:val="0"/>
          <w:sz w:val="16"/>
          <w:szCs w:val="16"/>
          <w:shd w:val="clear" w:fill="FFFFFF"/>
        </w:rPr>
        <w:t>科目【yyyyy】已在调增调减中，不能重复提交</w:t>
      </w:r>
      <w:r>
        <w:rPr>
          <w:rFonts w:hint="eastAsia"/>
          <w:lang w:val="en-US" w:eastAsia="zh-CN"/>
        </w:rPr>
        <w:t>”</w:t>
      </w:r>
    </w:p>
    <w:p w14:paraId="40AD8A42">
      <w:p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60035" cy="3755390"/>
            <wp:effectExtent l="0" t="0" r="4445" b="8890"/>
            <wp:docPr id="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AF676">
      <w:pPr>
        <w:pStyle w:val="7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28" w:name="_Toc20551"/>
      <w:r>
        <w:rPr>
          <w:rFonts w:hint="eastAsia"/>
          <w:rtl w:val="0"/>
          <w:lang w:val="en-US" w:eastAsia="zh-CN"/>
        </w:rPr>
        <w:t>预算调剂</w:t>
      </w:r>
      <w:bookmarkEnd w:id="28"/>
    </w:p>
    <w:p w14:paraId="7DADBD7B">
      <w:p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在预算执行过程中，若要保证总金额不变，预算项目的科目之间调剂，则使用“元调剂”功能实现，可将其中一个科目减少，另一个科目金额响应增加，本期还增加了1对多的能力，可在一个审批单据中实现多组科目金额调剂</w:t>
      </w:r>
    </w:p>
    <w:p w14:paraId="0B6AC9C8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筛选栏：</w:t>
      </w:r>
    </w:p>
    <w:p w14:paraId="5BE55E9E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预算年度：默认当年</w:t>
      </w:r>
    </w:p>
    <w:p w14:paraId="754A5821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单号：默认空，支持精确搜索</w:t>
      </w:r>
    </w:p>
    <w:p w14:paraId="74A79DBD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事由：默认空，支持模糊搜索</w:t>
      </w:r>
    </w:p>
    <w:p w14:paraId="52BD49D7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登记时间：默认空，可输入起止时间，年月日</w:t>
      </w:r>
    </w:p>
    <w:p w14:paraId="41E4982D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状态：默认空，支持选择未提交、审批中、已驳回、已完成的数据</w:t>
      </w:r>
    </w:p>
    <w:p w14:paraId="4A68BAE9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列表：</w:t>
      </w:r>
    </w:p>
    <w:p w14:paraId="562F1066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单据编号</w:t>
      </w:r>
    </w:p>
    <w:p w14:paraId="635E781C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科目类型</w:t>
      </w:r>
    </w:p>
    <w:p w14:paraId="6500EEAE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调剂事由</w:t>
      </w:r>
    </w:p>
    <w:p w14:paraId="62EB13CF">
      <w:pPr>
        <w:numPr>
          <w:ilvl w:val="0"/>
          <w:numId w:val="21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调剂金额（元）</w:t>
      </w:r>
    </w:p>
    <w:p w14:paraId="6810C6E0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发起人</w:t>
      </w:r>
    </w:p>
    <w:p w14:paraId="259C53EC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发起时间：年月日</w:t>
      </w:r>
    </w:p>
    <w:p w14:paraId="1738A471">
      <w:pPr>
        <w:numPr>
          <w:ilvl w:val="0"/>
          <w:numId w:val="21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状态</w:t>
      </w:r>
    </w:p>
    <w:p w14:paraId="5BE5A364">
      <w:pPr>
        <w:numPr>
          <w:ilvl w:val="0"/>
          <w:numId w:val="21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操作：详情、编辑、删除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7363"/>
      </w:tblGrid>
      <w:tr w14:paraId="0C2E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9" w:type="dxa"/>
          </w:tcPr>
          <w:p w14:paraId="669A6CC7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状态</w:t>
            </w:r>
          </w:p>
        </w:tc>
        <w:tc>
          <w:tcPr>
            <w:tcW w:w="7363" w:type="dxa"/>
          </w:tcPr>
          <w:p w14:paraId="0DA27E82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操作</w:t>
            </w:r>
          </w:p>
        </w:tc>
      </w:tr>
      <w:tr w14:paraId="4AAEA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9" w:type="dxa"/>
          </w:tcPr>
          <w:p w14:paraId="2EC7C5CA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未提交</w:t>
            </w:r>
          </w:p>
        </w:tc>
        <w:tc>
          <w:tcPr>
            <w:tcW w:w="7363" w:type="dxa"/>
          </w:tcPr>
          <w:p w14:paraId="44B33A03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【详情】【编辑】【删除】</w:t>
            </w:r>
          </w:p>
        </w:tc>
      </w:tr>
      <w:tr w14:paraId="5879B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9" w:type="dxa"/>
          </w:tcPr>
          <w:p w14:paraId="526C238A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已驳回</w:t>
            </w:r>
          </w:p>
        </w:tc>
        <w:tc>
          <w:tcPr>
            <w:tcW w:w="7363" w:type="dxa"/>
          </w:tcPr>
          <w:p w14:paraId="7928CB0F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【详情】</w:t>
            </w:r>
          </w:p>
        </w:tc>
      </w:tr>
      <w:tr w14:paraId="7082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9" w:type="dxa"/>
          </w:tcPr>
          <w:p w14:paraId="4A6247E9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已完成</w:t>
            </w:r>
          </w:p>
        </w:tc>
        <w:tc>
          <w:tcPr>
            <w:tcW w:w="7363" w:type="dxa"/>
          </w:tcPr>
          <w:p w14:paraId="36F5FC62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【详情】</w:t>
            </w:r>
          </w:p>
        </w:tc>
      </w:tr>
      <w:tr w14:paraId="14A04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9" w:type="dxa"/>
          </w:tcPr>
          <w:p w14:paraId="50A2EAFB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审批中</w:t>
            </w:r>
          </w:p>
        </w:tc>
        <w:tc>
          <w:tcPr>
            <w:tcW w:w="7363" w:type="dxa"/>
          </w:tcPr>
          <w:p w14:paraId="007AA4FF">
            <w:pPr>
              <w:numPr>
                <w:ilvl w:val="0"/>
                <w:numId w:val="0"/>
              </w:numPr>
              <w:rPr>
                <w:rFonts w:hint="default" w:ascii="宋体" w:hAnsi="宋体" w:cs="宋体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rtl w:val="0"/>
                <w:lang w:val="en-US" w:eastAsia="zh-CN"/>
              </w:rPr>
              <w:t>【详情】</w:t>
            </w:r>
          </w:p>
        </w:tc>
      </w:tr>
    </w:tbl>
    <w:p w14:paraId="552B1936">
      <w:pPr>
        <w:numPr>
          <w:ilvl w:val="0"/>
          <w:numId w:val="0"/>
        </w:numPr>
        <w:ind w:leftChars="0"/>
        <w:rPr>
          <w:rFonts w:hint="default" w:ascii="宋体" w:hAnsi="宋体" w:cs="宋体"/>
          <w:rtl w:val="0"/>
          <w:lang w:val="en-US" w:eastAsia="zh-CN"/>
        </w:rPr>
      </w:pPr>
    </w:p>
    <w:p w14:paraId="53E13C84">
      <w:r>
        <w:drawing>
          <wp:inline distT="0" distB="0" distL="114300" distR="114300">
            <wp:extent cx="5346700" cy="2249170"/>
            <wp:effectExtent l="0" t="0" r="2540" b="6350"/>
            <wp:docPr id="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0C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调剂申请</w:t>
      </w:r>
    </w:p>
    <w:p w14:paraId="66056374">
      <w:pPr>
        <w:numPr>
          <w:ilvl w:val="0"/>
          <w:numId w:val="2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</w:t>
      </w:r>
    </w:p>
    <w:p w14:paraId="156FD94E">
      <w:pPr>
        <w:numPr>
          <w:ilvl w:val="0"/>
          <w:numId w:val="2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经办人：固定当前提交人，不允许调整</w:t>
      </w:r>
    </w:p>
    <w:p w14:paraId="6D58007A">
      <w:pPr>
        <w:numPr>
          <w:ilvl w:val="0"/>
          <w:numId w:val="2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一级部门：必填，默认当前人员的所在部门</w:t>
      </w:r>
    </w:p>
    <w:p w14:paraId="4B1448A3">
      <w:pPr>
        <w:numPr>
          <w:ilvl w:val="0"/>
          <w:numId w:val="2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调剂事由：必填，自定义输入</w:t>
      </w:r>
    </w:p>
    <w:p w14:paraId="324F87EA"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调整信息</w:t>
      </w:r>
    </w:p>
    <w:p w14:paraId="2B6EB1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调出部门信息如下：调剂后将导致金额减少</w:t>
      </w:r>
    </w:p>
    <w:p w14:paraId="0823E768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部门：必填，从对应年份的预算执行表中获取填报部门信息</w:t>
      </w:r>
    </w:p>
    <w:p w14:paraId="0BE407AC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项目：必填，根据部门选择对应的项目信息</w:t>
      </w:r>
    </w:p>
    <w:p w14:paraId="32BAB748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事项名称：必填，根据项目中是否有事项展示，无事项则不展示该字段；有事项时，从项目对应的事项中选择，若项目没有事项会导致选择不到数据</w:t>
      </w:r>
    </w:p>
    <w:p w14:paraId="602E260A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费用项：必填，根据项目中是否有费用项展示，无费用则不展示该字段；若有费用项，则将从事项对应的费用项中选择</w:t>
      </w:r>
    </w:p>
    <w:p w14:paraId="1DC156CE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科目：必填，根据项目下的科目，或是费用项下的科目进行选择</w:t>
      </w:r>
    </w:p>
    <w:p w14:paraId="29925C70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科目类型：必填，自动置入科目的类型</w:t>
      </w:r>
    </w:p>
    <w:p w14:paraId="4C2D871C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是否为政府采购：必填，可选择是或否</w:t>
      </w:r>
    </w:p>
    <w:p w14:paraId="58DCE206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采购目录：是政府采购时必填采购目录，否则置灰不可输入</w:t>
      </w:r>
    </w:p>
    <w:p w14:paraId="1828F1CB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调剂前可用金额（元）：自动置入，不可编辑</w:t>
      </w:r>
    </w:p>
    <w:p w14:paraId="18B30619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申请调剂金额（元）：自定义输入</w:t>
      </w:r>
    </w:p>
    <w:p w14:paraId="6F7D911F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调剂后可用金额（元）</w:t>
      </w:r>
    </w:p>
    <w:p w14:paraId="79B0141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F6353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调入部门信息如下：调剂后将导致金额增加，允许1个调出部门对应多个调入部门科目信息</w:t>
      </w:r>
    </w:p>
    <w:p w14:paraId="4FABC381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部门：必填，从对应年份的预算执行表中获取填报部门信息，允许调出部门=调入部门</w:t>
      </w:r>
    </w:p>
    <w:p w14:paraId="12A83A15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项目；必填，同调出部门</w:t>
      </w:r>
    </w:p>
    <w:p w14:paraId="3EAD9F0A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事项名称：同调出部门</w:t>
      </w:r>
    </w:p>
    <w:p w14:paraId="267B32D7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费用项：同调出部门</w:t>
      </w:r>
    </w:p>
    <w:p w14:paraId="4221DBC3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科目：必填，同调出部门</w:t>
      </w:r>
    </w:p>
    <w:p w14:paraId="03E7B190">
      <w:pPr>
        <w:numPr>
          <w:ilvl w:val="0"/>
          <w:numId w:val="2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科目类型：必填，同调出部门，调出和调入部门的科目类型需保持一致（后期有需要再解除校验）</w:t>
      </w:r>
    </w:p>
    <w:p w14:paraId="41044421">
      <w:pPr>
        <w:numPr>
          <w:ilvl w:val="0"/>
          <w:numId w:val="0"/>
        </w:numPr>
      </w:pPr>
      <w:r>
        <w:drawing>
          <wp:inline distT="0" distB="0" distL="114300" distR="114300">
            <wp:extent cx="5356225" cy="3115945"/>
            <wp:effectExtent l="0" t="0" r="825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F5848"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附件：非必填</w:t>
      </w:r>
    </w:p>
    <w:p w14:paraId="5FA87B15"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审批流：可自定义设置审批流（非百搭审批流）</w:t>
      </w:r>
    </w:p>
    <w:p w14:paraId="653FACAC">
      <w:r>
        <w:drawing>
          <wp:inline distT="0" distB="0" distL="114300" distR="114300">
            <wp:extent cx="5362575" cy="5151755"/>
            <wp:effectExtent l="0" t="0" r="1905" b="14605"/>
            <wp:docPr id="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1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C523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校验：</w:t>
      </w:r>
    </w:p>
    <w:p w14:paraId="30EAFD07">
      <w:pPr>
        <w:numPr>
          <w:ilvl w:val="0"/>
          <w:numId w:val="25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default" w:ascii="宋体" w:hAnsi="宋体" w:cs="宋体"/>
          <w:rtl w:val="0"/>
          <w:lang w:val="en-US" w:eastAsia="zh-CN"/>
        </w:rPr>
        <w:t>申请调剂后的可用金额不能小于0</w:t>
      </w:r>
    </w:p>
    <w:p w14:paraId="7EB37345">
      <w:pPr>
        <w:numPr>
          <w:ilvl w:val="0"/>
          <w:numId w:val="25"/>
        </w:numPr>
        <w:ind w:left="420" w:leftChars="0" w:hanging="420" w:firstLineChars="0"/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二次调剂时，会提醒哪些科目调剂中，不允许再提交</w:t>
      </w:r>
    </w:p>
    <w:p w14:paraId="15F3AE48">
      <w:pPr>
        <w:numPr>
          <w:ilvl w:val="0"/>
          <w:numId w:val="25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多个调出部门时，调出部门不允许重复</w:t>
      </w:r>
    </w:p>
    <w:p w14:paraId="56B1A321">
      <w:pPr>
        <w:numPr>
          <w:ilvl w:val="0"/>
          <w:numId w:val="25"/>
        </w:numPr>
        <w:ind w:left="420" w:leftChars="0" w:hanging="420" w:firstLineChars="0"/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在一组调出和调入部门的科目计算后，需保证调剂后可用金额（元）＞0</w:t>
      </w:r>
    </w:p>
    <w:p w14:paraId="0DCB41AC">
      <w:r>
        <w:drawing>
          <wp:inline distT="0" distB="0" distL="114300" distR="114300">
            <wp:extent cx="5360670" cy="1014095"/>
            <wp:effectExtent l="0" t="0" r="3810" b="6985"/>
            <wp:docPr id="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E437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62575" cy="3612515"/>
            <wp:effectExtent l="0" t="0" r="1905" b="1460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AD85">
      <w:pPr>
        <w:rPr>
          <w:rFonts w:hint="eastAsia" w:ascii="宋体" w:hAnsi="宋体" w:cs="宋体"/>
          <w:rtl w:val="0"/>
          <w:lang w:val="en-US" w:eastAsia="zh-CN"/>
        </w:rPr>
      </w:pPr>
    </w:p>
    <w:p w14:paraId="2403C002">
      <w:pPr>
        <w:pStyle w:val="5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29" w:name="_Toc10251"/>
      <w:r>
        <w:rPr>
          <w:rFonts w:hint="eastAsia" w:ascii="宋体" w:hAnsi="宋体" w:eastAsia="宋体" w:cs="宋体"/>
          <w:rtl w:val="0"/>
          <w:lang w:val="en-US" w:eastAsia="zh-CN"/>
        </w:rPr>
        <w:t>支出管理</w:t>
      </w:r>
      <w:bookmarkEnd w:id="29"/>
    </w:p>
    <w:p w14:paraId="0CC1C5BF">
      <w:pPr>
        <w:pStyle w:val="6"/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30" w:name="_Toc18167"/>
      <w:r>
        <w:rPr>
          <w:rFonts w:hint="eastAsia"/>
          <w:rtl w:val="0"/>
          <w:lang w:val="en-US" w:eastAsia="zh-CN"/>
        </w:rPr>
        <w:t>业务员选择预算项目信息</w:t>
      </w:r>
      <w:bookmarkEnd w:id="30"/>
    </w:p>
    <w:p w14:paraId="7511276A">
      <w:p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入口：支出管理-&gt;我的单据</w:t>
      </w:r>
    </w:p>
    <w:p w14:paraId="745729EA">
      <w:p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业务员在创建报销单选择预算项目信息时，效果如下：</w:t>
      </w:r>
    </w:p>
    <w:p w14:paraId="79FC6B39">
      <w:pPr>
        <w:rPr>
          <w:rFonts w:hint="eastAsia" w:ascii="宋体" w:hAnsi="宋体" w:cs="宋体"/>
          <w:rtl w:val="0"/>
          <w:lang w:val="en-US" w:eastAsia="zh-CN"/>
        </w:rPr>
      </w:pPr>
      <w:r>
        <w:drawing>
          <wp:inline distT="0" distB="0" distL="114300" distR="114300">
            <wp:extent cx="5357495" cy="1269365"/>
            <wp:effectExtent l="0" t="0" r="6985" b="10795"/>
            <wp:docPr id="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D8771">
      <w:r>
        <w:drawing>
          <wp:inline distT="0" distB="0" distL="114300" distR="114300">
            <wp:extent cx="5363210" cy="1160780"/>
            <wp:effectExtent l="0" t="0" r="1270" b="12700"/>
            <wp:docPr id="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70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可根据项目配置按照：部门+项目+科目维度，或是部门+项目+事项+费用项+科目维度，或是部门+项目+事项+科目等维度</w:t>
      </w:r>
    </w:p>
    <w:p w14:paraId="5F37A134">
      <w:pPr>
        <w:rPr>
          <w:rFonts w:hint="eastAsia"/>
          <w:lang w:val="en-US" w:eastAsia="zh-CN"/>
        </w:rPr>
      </w:pPr>
    </w:p>
    <w:p w14:paraId="1544A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选择预算项目后，系统将根据内外部项目的关系，找到内部项目关联一体化指标</w:t>
      </w:r>
    </w:p>
    <w:p w14:paraId="3D4CCF52">
      <w:pPr>
        <w:numPr>
          <w:ilvl w:val="0"/>
          <w:numId w:val="2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业务员选择的内部预算那项目信息，</w:t>
      </w:r>
      <w:r>
        <w:rPr>
          <w:rFonts w:hint="default"/>
          <w:rtl w:val="0"/>
          <w:lang w:val="en-US" w:eastAsia="zh-CN"/>
        </w:rPr>
        <w:t>根据“内部预算项目名称+科目名称+上年结转标识”与一体化指标的“项目名称+部门经济分类+指标类型”进行名称对应；上年结转的数据≈指标类型为31-国库集中支付结余（结转）</w:t>
      </w:r>
    </w:p>
    <w:p w14:paraId="21B88B46">
      <w:pPr>
        <w:rPr>
          <w:rFonts w:hint="eastAsia" w:ascii="宋体" w:hAnsi="宋体" w:cs="宋体"/>
          <w:rtl w:val="0"/>
          <w:lang w:val="en-US" w:eastAsia="zh-CN"/>
        </w:rPr>
      </w:pPr>
    </w:p>
    <w:p w14:paraId="0726DAFA">
      <w:pPr>
        <w:pStyle w:val="6"/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31" w:name="_Toc30458"/>
      <w:r>
        <w:rPr>
          <w:rFonts w:hint="eastAsia"/>
          <w:rtl w:val="0"/>
          <w:lang w:val="en-US" w:eastAsia="zh-CN"/>
        </w:rPr>
        <w:t>财务审核单据</w:t>
      </w:r>
      <w:bookmarkEnd w:id="31"/>
    </w:p>
    <w:p w14:paraId="1BC89883">
      <w:p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入口：支出管理-&gt;我的审核</w:t>
      </w:r>
    </w:p>
    <w:p w14:paraId="322DD070">
      <w:p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财务选择国库支付后，选择指标，系统将根据内外部项目关联关系，默认勾选</w:t>
      </w:r>
    </w:p>
    <w:p w14:paraId="14EE1763">
      <w:pPr>
        <w:numPr>
          <w:ilvl w:val="0"/>
          <w:numId w:val="2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财务选择国库支付后，对应指标会默认勾选上，也允许切换成其他指标ID</w:t>
      </w:r>
    </w:p>
    <w:p w14:paraId="4B34D6A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4008120"/>
            <wp:effectExtent l="0" t="0" r="0" b="0"/>
            <wp:docPr id="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E8C2C">
      <w:pPr>
        <w:pStyle w:val="5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32" w:name="_Toc594"/>
      <w:r>
        <w:rPr>
          <w:rFonts w:hint="eastAsia" w:ascii="宋体" w:hAnsi="宋体" w:eastAsia="宋体" w:cs="宋体"/>
          <w:rtl w:val="0"/>
          <w:lang w:val="en-US" w:eastAsia="zh-CN"/>
        </w:rPr>
        <w:t>运营机构后台</w:t>
      </w:r>
      <w:bookmarkEnd w:id="32"/>
    </w:p>
    <w:p w14:paraId="29403546">
      <w:pPr>
        <w:pStyle w:val="6"/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33" w:name="_Toc2322"/>
      <w:r>
        <w:rPr>
          <w:rFonts w:hint="eastAsia"/>
          <w:rtl w:val="0"/>
          <w:lang w:val="en-US" w:eastAsia="zh-CN"/>
        </w:rPr>
        <w:t>预算项目控制</w:t>
      </w:r>
      <w:bookmarkEnd w:id="33"/>
    </w:p>
    <w:p w14:paraId="7901BD4B">
      <w:p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入口：运营机构-&gt;实施工具-&gt;单位管理</w:t>
      </w:r>
    </w:p>
    <w:p w14:paraId="5547F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在“预算管理”tab下，对“预算项目配置”预算进行设置</w:t>
      </w:r>
    </w:p>
    <w:p w14:paraId="32009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项目预算申报的所有预算项目将呈现如下列表，可自定义配置按照哪种方式控制</w:t>
      </w:r>
    </w:p>
    <w:p w14:paraId="793909E7">
      <w:pPr>
        <w:numPr>
          <w:ilvl w:val="0"/>
          <w:numId w:val="2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项目+科目：业务员选择项目组件时按照部门+项目+科目+金额进行报销</w:t>
      </w:r>
    </w:p>
    <w:p w14:paraId="3050B952">
      <w:pPr>
        <w:numPr>
          <w:ilvl w:val="0"/>
          <w:numId w:val="2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项目+事项+科目</w:t>
      </w:r>
    </w:p>
    <w:p w14:paraId="4EBE4DB8">
      <w:pPr>
        <w:numPr>
          <w:ilvl w:val="0"/>
          <w:numId w:val="2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项目+费用项+科目</w:t>
      </w:r>
    </w:p>
    <w:p w14:paraId="784EC60A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项目+事项+费用项+科目</w:t>
      </w:r>
    </w:p>
    <w:p w14:paraId="6450862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57495" cy="1531620"/>
            <wp:effectExtent l="0" t="0" r="6985" b="7620"/>
            <wp:docPr id="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9CFC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可对项目的金额进行多维控制</w:t>
      </w:r>
    </w:p>
    <w:p w14:paraId="291BB952">
      <w:pPr>
        <w:numPr>
          <w:ilvl w:val="0"/>
          <w:numId w:val="27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科目控制：科目金额可强控或是若控</w:t>
      </w:r>
    </w:p>
    <w:p w14:paraId="1FFCE4F0">
      <w:pPr>
        <w:numPr>
          <w:ilvl w:val="0"/>
          <w:numId w:val="27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事项+费用项控制：可对事项+费用项进行金额强弱控，比如科目是弱控，事项+费用项是强控，即科目金额可超过剩余可用金额，但是不能超过事项+费用项的金额</w:t>
      </w:r>
    </w:p>
    <w:p w14:paraId="386C5C56">
      <w:pPr>
        <w:rPr>
          <w:rFonts w:hint="eastAsia"/>
          <w:rtl w:val="0"/>
          <w:lang w:val="zh-TW" w:eastAsia="zh-TW"/>
        </w:rPr>
      </w:pPr>
    </w:p>
    <w:p w14:paraId="5089142B">
      <w:pPr>
        <w:pStyle w:val="6"/>
        <w:bidi w:val="0"/>
        <w:ind w:left="864" w:leftChars="0" w:hanging="864" w:firstLineChars="0"/>
        <w:rPr>
          <w:rFonts w:hint="eastAsia"/>
          <w:rtl w:val="0"/>
          <w:lang w:val="en-US" w:eastAsia="zh-Hans"/>
        </w:rPr>
      </w:pPr>
      <w:bookmarkStart w:id="34" w:name="_Toc18852"/>
      <w:r>
        <w:rPr>
          <w:rFonts w:hint="eastAsia"/>
          <w:rtl w:val="0"/>
          <w:lang w:val="en-US" w:eastAsia="zh-CN"/>
        </w:rPr>
        <w:t>预算项目使用范围控制</w:t>
      </w:r>
      <w:bookmarkEnd w:id="34"/>
      <w:r>
        <w:commentReference w:id="0"/>
      </w:r>
    </w:p>
    <w:p w14:paraId="200E1343">
      <w:pPr>
        <w:rPr>
          <w:rFonts w:hint="default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入口：运营机构-&gt;实施工具-&gt;单位管理</w:t>
      </w:r>
    </w:p>
    <w:p w14:paraId="06B4D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在“预算管理”tab下，对“预算设置配置”进行设置</w:t>
      </w:r>
    </w:p>
    <w:p w14:paraId="3035BE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编辑预算项目使用范围，满足不同项目使用的范围不同的需求</w:t>
      </w:r>
    </w:p>
    <w:p w14:paraId="750BE2F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356860" cy="1240790"/>
            <wp:effectExtent l="0" t="0" r="7620" b="8890"/>
            <wp:docPr id="4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C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可编辑预算项目的使用范围，目前提供4种模式</w:t>
      </w:r>
    </w:p>
    <w:p w14:paraId="2C486079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全部人员：可将项目开放给全部人员使用</w:t>
      </w:r>
    </w:p>
    <w:p w14:paraId="2C58B6CD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部门人员：默认，即哪个部门填报的预算，对应部门人员使用</w:t>
      </w:r>
    </w:p>
    <w:p w14:paraId="123202D3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项目人员：文旅厅暂时不涉及，即项目库的项目有设置关联虚拟的项目组概念，可设置项目仅项目内人员使用，对应的人员目前仅支持在单位下自行维护</w:t>
      </w:r>
    </w:p>
    <w:p w14:paraId="0D2CD036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定人员：文旅厅暂不涉及，即项目有人员经费的指定场景，仅对应人员使用，分配是给每个人分配预算金额，在社科院同步财政一体化指标分解时可设置指定人员使用，目前已做限制，若是“指定人员”则不允切换，其他场景不允许切换至“指定人员”。后期可考虑在后台设置指定给对应哪些人员使用</w:t>
      </w:r>
    </w:p>
    <w:p w14:paraId="445847B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54955" cy="4243705"/>
            <wp:effectExtent l="0" t="0" r="9525" b="8255"/>
            <wp:docPr id="4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47EE5">
      <w:pPr>
        <w:rPr>
          <w:rFonts w:hint="eastAsia"/>
        </w:rPr>
      </w:pPr>
    </w:p>
    <w:p w14:paraId="6CD06D90">
      <w:pPr>
        <w:pStyle w:val="4"/>
        <w:bidi w:val="0"/>
        <w:ind w:left="576" w:leftChars="0" w:hanging="576" w:firstLineChars="0"/>
        <w:rPr>
          <w:rFonts w:hint="eastAsia" w:ascii="宋体" w:hAnsi="宋体" w:eastAsia="宋体" w:cs="宋体"/>
        </w:rPr>
      </w:pPr>
      <w:bookmarkStart w:id="35" w:name="_Toc23529"/>
      <w:r>
        <w:rPr>
          <w:rFonts w:hint="eastAsia" w:ascii="宋体" w:hAnsi="宋体" w:eastAsia="宋体" w:cs="宋体"/>
          <w:rtl w:val="0"/>
          <w:lang w:val="en-US" w:eastAsia="zh-CN"/>
        </w:rPr>
        <w:t>非功能需求和其他</w:t>
      </w:r>
      <w:r>
        <w:rPr>
          <w:rFonts w:hint="eastAsia" w:ascii="宋体" w:hAnsi="宋体" w:eastAsia="宋体" w:cs="宋体"/>
          <w:rtl w:val="0"/>
          <w:lang w:val="zh-TW" w:eastAsia="zh-CN"/>
        </w:rPr>
        <w:t>说明</w:t>
      </w:r>
      <w:bookmarkEnd w:id="35"/>
    </w:p>
    <w:p w14:paraId="0E949854">
      <w:pPr>
        <w:pStyle w:val="5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36" w:name="_Toc29148"/>
      <w:r>
        <w:rPr>
          <w:rFonts w:hint="eastAsia" w:ascii="宋体" w:hAnsi="宋体" w:eastAsia="宋体" w:cs="宋体"/>
          <w:rtl w:val="0"/>
          <w:lang w:val="zh-TW" w:eastAsia="zh-TW"/>
        </w:rPr>
        <w:t>性能需求</w:t>
      </w:r>
      <w:bookmarkEnd w:id="36"/>
    </w:p>
    <w:p w14:paraId="27383078">
      <w:pPr>
        <w:rPr>
          <w:rFonts w:hint="eastAsia" w:ascii="宋体" w:hAnsi="宋体" w:cs="宋体"/>
          <w:color w:val="0000FF"/>
          <w:u w:color="0000FF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lang w:val="en-US" w:eastAsia="zh-CN"/>
        </w:rPr>
        <w:t>无</w:t>
      </w:r>
    </w:p>
    <w:p w14:paraId="0428565A">
      <w:pPr>
        <w:pStyle w:val="5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37" w:name="_Toc12207"/>
      <w:r>
        <w:rPr>
          <w:rFonts w:hint="eastAsia" w:ascii="宋体" w:hAnsi="宋体" w:eastAsia="宋体" w:cs="宋体"/>
          <w:rtl w:val="0"/>
          <w:lang w:val="zh-TW" w:eastAsia="zh-TW"/>
        </w:rPr>
        <w:t>安全需求</w:t>
      </w:r>
      <w:bookmarkEnd w:id="37"/>
    </w:p>
    <w:p w14:paraId="27FE17CE">
      <w:pPr>
        <w:rPr>
          <w:rFonts w:hint="default" w:ascii="宋体" w:hAnsi="宋体" w:eastAsia="宋体" w:cs="宋体"/>
          <w:color w:val="0000FF"/>
          <w:u w:color="0000FF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lang w:val="en-US" w:eastAsia="zh-CN"/>
        </w:rPr>
        <w:t>无</w:t>
      </w:r>
    </w:p>
    <w:p w14:paraId="1F8E4F12">
      <w:pPr>
        <w:pStyle w:val="5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38" w:name="_Toc1373"/>
      <w:r>
        <w:rPr>
          <w:rFonts w:hint="eastAsia" w:ascii="宋体" w:hAnsi="宋体" w:eastAsia="宋体" w:cs="宋体"/>
          <w:rtl w:val="0"/>
          <w:lang w:val="zh-TW" w:eastAsia="zh-TW"/>
        </w:rPr>
        <w:t>兼容性需求</w:t>
      </w:r>
      <w:bookmarkEnd w:id="38"/>
    </w:p>
    <w:p w14:paraId="513751E6">
      <w:pPr>
        <w:rPr>
          <w:rFonts w:hint="eastAsia" w:ascii="宋体" w:hAnsi="宋体" w:eastAsia="宋体" w:cs="宋体"/>
          <w:color w:val="0000FF"/>
          <w:u w:color="0000FF"/>
        </w:rPr>
      </w:pPr>
      <w:r>
        <w:rPr>
          <w:rFonts w:hint="eastAsia" w:ascii="宋体" w:hAnsi="宋体" w:cs="宋体"/>
          <w:color w:val="0000FF"/>
          <w:u w:color="0000FF"/>
          <w:rtl w:val="0"/>
          <w:lang w:val="en-US" w:eastAsia="zh-CN"/>
        </w:rPr>
        <w:t>无</w:t>
      </w:r>
    </w:p>
    <w:p w14:paraId="0506885C">
      <w:pPr>
        <w:pStyle w:val="5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39" w:name="_Toc27728"/>
      <w:r>
        <w:rPr>
          <w:rFonts w:hint="eastAsia" w:ascii="宋体" w:hAnsi="宋体" w:eastAsia="宋体" w:cs="宋体"/>
          <w:rtl w:val="0"/>
          <w:lang w:val="zh-TW" w:eastAsia="zh-TW"/>
        </w:rPr>
        <w:t>相关文档需求</w:t>
      </w:r>
      <w:bookmarkEnd w:id="39"/>
    </w:p>
    <w:p w14:paraId="4D50C733">
      <w:pPr>
        <w:pStyle w:val="14"/>
        <w:framePr w:wrap="auto" w:vAnchor="margin" w:hAnchor="text" w:yAlign="inline"/>
        <w:rPr>
          <w:rFonts w:hint="eastAsia" w:ascii="宋体" w:hAnsi="宋体" w:eastAsia="宋体" w:cs="宋体"/>
          <w:color w:val="0000FF"/>
          <w:kern w:val="2"/>
          <w:u w:color="0000FF"/>
          <w:lang w:eastAsia="zh-CN"/>
        </w:rPr>
      </w:pPr>
      <w:r>
        <w:rPr>
          <w:rFonts w:hint="eastAsia" w:ascii="宋体" w:hAnsi="宋体" w:eastAsia="宋体" w:cs="宋体"/>
          <w:color w:val="000000"/>
          <w:kern w:val="2"/>
          <w:u w:color="000000"/>
          <w:rtl w:val="0"/>
          <w:lang w:val="zh-TW" w:eastAsia="zh-TW"/>
        </w:rPr>
        <w:t>涉及用户习惯的改动：</w:t>
      </w:r>
    </w:p>
    <w:p w14:paraId="77B7B4FC">
      <w:pPr>
        <w:pStyle w:val="14"/>
        <w:framePr w:wrap="auto" w:vAnchor="margin" w:hAnchor="text" w:yAlign="inline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color w:val="000000"/>
          <w:kern w:val="2"/>
          <w:u w:color="000000"/>
          <w:rtl w:val="0"/>
          <w:lang w:val="zh-TW" w:eastAsia="zh-TW"/>
        </w:rPr>
        <w:t>隐私政策、相关协议 等内容改动</w:t>
      </w:r>
      <w:r>
        <w:rPr>
          <w:rFonts w:hint="eastAsia" w:ascii="宋体" w:hAnsi="宋体" w:eastAsia="宋体" w:cs="宋体"/>
          <w:color w:val="000000"/>
          <w:kern w:val="2"/>
          <w:u w:color="000000"/>
          <w:rtl w:val="0"/>
          <w:lang w:val="en-US"/>
        </w:rPr>
        <w:t>:</w:t>
      </w:r>
      <w:r>
        <w:rPr>
          <w:rFonts w:hint="eastAsia" w:ascii="宋体" w:hAnsi="宋体" w:eastAsia="宋体" w:cs="宋体"/>
          <w:color w:val="0000FF"/>
          <w:kern w:val="2"/>
          <w:u w:color="0000FF"/>
          <w:rtl w:val="0"/>
          <w:lang w:val="zh-TW" w:eastAsia="zh-CN"/>
        </w:rPr>
        <w:t>无</w:t>
      </w:r>
    </w:p>
    <w:sectPr>
      <w:type w:val="continuous"/>
      <w:pgSz w:w="11906" w:h="16838"/>
      <w:pgMar w:top="1571" w:right="1588" w:bottom="1440" w:left="1588" w:header="777" w:footer="896" w:gutter="284"/>
      <w:pgNumType w:start="0"/>
      <w:cols w:space="425" w:num="1"/>
      <w:titlePg/>
      <w:docGrid w:type="line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颖ʘᴗʘ" w:date="2026-04-21T16:15:22Z" w:initials="">
    <w:p w14:paraId="37AA842D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待支持多个部门使用</w:t>
      </w:r>
      <w:bookmarkStart w:id="40" w:name="_GoBack"/>
      <w:bookmarkEnd w:id="4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7AA842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 Regular">
    <w:altName w:val="宋体"/>
    <w:panose1 w:val="020B0400000000000000"/>
    <w:charset w:val="86"/>
    <w:family w:val="roman"/>
    <w:pitch w:val="default"/>
    <w:sig w:usb0="00000000" w:usb1="00000000" w:usb2="00000017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CA1BD">
    <w:pPr>
      <w:pStyle w:val="22"/>
      <w:framePr w:wrap="around" w:vAnchor="text" w:hAnchor="margin" w:xAlign="center" w:y="1"/>
      <w:rPr>
        <w:rStyle w:val="37"/>
      </w:rPr>
    </w:pPr>
    <w:r>
      <w:rPr>
        <w:rStyle w:val="37"/>
      </w:rPr>
      <w:fldChar w:fldCharType="begin"/>
    </w:r>
    <w:r>
      <w:rPr>
        <w:rStyle w:val="37"/>
      </w:rPr>
      <w:instrText xml:space="preserve">PAGE  </w:instrText>
    </w:r>
    <w:r>
      <w:rPr>
        <w:rStyle w:val="37"/>
      </w:rPr>
      <w:fldChar w:fldCharType="separate"/>
    </w:r>
    <w:r>
      <w:rPr>
        <w:rStyle w:val="37"/>
      </w:rPr>
      <w:t>7</w:t>
    </w:r>
    <w:r>
      <w:rPr>
        <w:rStyle w:val="37"/>
      </w:rPr>
      <w:fldChar w:fldCharType="end"/>
    </w:r>
  </w:p>
  <w:p w14:paraId="41A4C95C">
    <w:pPr>
      <w:pStyle w:val="22"/>
      <w:jc w:val="right"/>
      <w:rPr>
        <w:rFonts w:ascii="黑体" w:eastAsia="黑体"/>
        <w:b/>
        <w:bCs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F94A7">
    <w:pPr>
      <w:pStyle w:val="22"/>
      <w:framePr w:wrap="around" w:vAnchor="text" w:hAnchor="margin" w:xAlign="center" w:y="1"/>
      <w:rPr>
        <w:rStyle w:val="37"/>
      </w:rPr>
    </w:pPr>
    <w:r>
      <w:rPr>
        <w:rStyle w:val="37"/>
      </w:rPr>
      <w:fldChar w:fldCharType="begin"/>
    </w:r>
    <w:r>
      <w:rPr>
        <w:rStyle w:val="37"/>
      </w:rPr>
      <w:instrText xml:space="preserve">PAGE  </w:instrText>
    </w:r>
    <w:r>
      <w:rPr>
        <w:rStyle w:val="37"/>
      </w:rPr>
      <w:fldChar w:fldCharType="end"/>
    </w:r>
  </w:p>
  <w:p w14:paraId="1FDB495E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B993B">
    <w:pPr>
      <w:pStyle w:val="23"/>
      <w:jc w:val="left"/>
      <w:rPr>
        <w:rFonts w:hint="eastAsia" w:eastAsia="宋体"/>
        <w:lang w:eastAsia="zh-CN"/>
      </w:rPr>
    </w:pPr>
    <w:r>
      <w:rPr>
        <w:rFonts w:hint="eastAsia"/>
      </w:rPr>
      <w:t xml:space="preserve">       </w:t>
    </w:r>
    <w:r>
      <w:rPr>
        <w:rFonts w:hint="eastAsia" w:ascii="宋体" w:hAnsi="宋体"/>
        <w:kern w:val="0"/>
        <w:lang w:val="en-US" w:eastAsia="zh-CN"/>
      </w:rPr>
      <w:t xml:space="preserve">                   </w:t>
    </w:r>
    <w:r>
      <w:t xml:space="preserve">            </w:t>
    </w:r>
    <w:r>
      <w:rPr>
        <w:rFonts w:hint="eastAsia"/>
        <w:lang w:eastAsia="zh-CN"/>
      </w:rPr>
      <w:t>产品需求文档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CC12C">
    <w:pPr>
      <w:pStyle w:val="23"/>
      <w:jc w:val="center"/>
    </w:pPr>
    <w:r>
      <w:rPr>
        <w:rFonts w:hint="eastAsia" w:eastAsia="宋体"/>
        <w:kern w:val="0"/>
        <w:sz w:val="21"/>
        <w:szCs w:val="21"/>
        <w:rtl w:val="0"/>
        <w:lang w:val="zh-TW" w:eastAsia="zh-TW"/>
      </w:rPr>
      <w:t>产品需求说明书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FCF50"/>
    <w:multiLevelType w:val="singleLevel"/>
    <w:tmpl w:val="95BFCF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21346A6"/>
    <w:multiLevelType w:val="singleLevel"/>
    <w:tmpl w:val="A21346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74214CF"/>
    <w:multiLevelType w:val="singleLevel"/>
    <w:tmpl w:val="A74214C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E70213E"/>
    <w:multiLevelType w:val="singleLevel"/>
    <w:tmpl w:val="AE70213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CDA4B25"/>
    <w:multiLevelType w:val="singleLevel"/>
    <w:tmpl w:val="BCDA4B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1D97511"/>
    <w:multiLevelType w:val="singleLevel"/>
    <w:tmpl w:val="C1D975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4FC9B47"/>
    <w:multiLevelType w:val="singleLevel"/>
    <w:tmpl w:val="C4FC9B4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C7BB4CAD"/>
    <w:multiLevelType w:val="singleLevel"/>
    <w:tmpl w:val="C7BB4CA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CC2C98D5"/>
    <w:multiLevelType w:val="singleLevel"/>
    <w:tmpl w:val="CC2C98D5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D35B069B"/>
    <w:multiLevelType w:val="singleLevel"/>
    <w:tmpl w:val="D35B06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D9BB2FF4"/>
    <w:multiLevelType w:val="singleLevel"/>
    <w:tmpl w:val="D9BB2F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DEC8A1D9"/>
    <w:multiLevelType w:val="singleLevel"/>
    <w:tmpl w:val="DEC8A1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E3BA3D01"/>
    <w:multiLevelType w:val="singleLevel"/>
    <w:tmpl w:val="E3BA3D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EB570D0E"/>
    <w:multiLevelType w:val="singleLevel"/>
    <w:tmpl w:val="EB570D0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ECE7D439"/>
    <w:multiLevelType w:val="singleLevel"/>
    <w:tmpl w:val="ECE7D43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EE31F735"/>
    <w:multiLevelType w:val="singleLevel"/>
    <w:tmpl w:val="EE31F73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F16F6BD6"/>
    <w:multiLevelType w:val="singleLevel"/>
    <w:tmpl w:val="F16F6BD6"/>
    <w:lvl w:ilvl="0" w:tentative="0">
      <w:start w:val="1"/>
      <w:numFmt w:val="decimal"/>
      <w:suff w:val="nothing"/>
      <w:lvlText w:val="%1）"/>
      <w:lvlJc w:val="left"/>
    </w:lvl>
  </w:abstractNum>
  <w:abstractNum w:abstractNumId="17">
    <w:nsid w:val="F69FC028"/>
    <w:multiLevelType w:val="singleLevel"/>
    <w:tmpl w:val="F69FC0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FCB907D4"/>
    <w:multiLevelType w:val="singleLevel"/>
    <w:tmpl w:val="FCB907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0331E5A8"/>
    <w:multiLevelType w:val="singleLevel"/>
    <w:tmpl w:val="0331E5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09DC8B67"/>
    <w:multiLevelType w:val="singleLevel"/>
    <w:tmpl w:val="09DC8B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1CD95CE1"/>
    <w:multiLevelType w:val="singleLevel"/>
    <w:tmpl w:val="1CD95C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2A6AD4B6"/>
    <w:multiLevelType w:val="singleLevel"/>
    <w:tmpl w:val="2A6AD4B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2FACFBF1"/>
    <w:multiLevelType w:val="singleLevel"/>
    <w:tmpl w:val="2FACFB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338D6F2D"/>
    <w:multiLevelType w:val="singleLevel"/>
    <w:tmpl w:val="338D6F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5232A8CB"/>
    <w:multiLevelType w:val="singleLevel"/>
    <w:tmpl w:val="5232A8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60A8A25B"/>
    <w:multiLevelType w:val="singleLevel"/>
    <w:tmpl w:val="60A8A25B"/>
    <w:lvl w:ilvl="0" w:tentative="0">
      <w:start w:val="1"/>
      <w:numFmt w:val="decimal"/>
      <w:suff w:val="nothing"/>
      <w:lvlText w:val="%1、"/>
      <w:lvlJc w:val="left"/>
    </w:lvl>
  </w:abstractNum>
  <w:abstractNum w:abstractNumId="27">
    <w:nsid w:val="729B2B9A"/>
    <w:multiLevelType w:val="multilevel"/>
    <w:tmpl w:val="729B2B9A"/>
    <w:lvl w:ilvl="0" w:tentative="0">
      <w:start w:val="1"/>
      <w:numFmt w:val="none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lvlText w:val="%1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5"/>
      <w:lvlText w:val="%1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6"/>
      <w:lvlText w:val="%1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lvlText w:val="%1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7"/>
  </w:num>
  <w:num w:numId="2">
    <w:abstractNumId w:val="26"/>
  </w:num>
  <w:num w:numId="3">
    <w:abstractNumId w:val="15"/>
  </w:num>
  <w:num w:numId="4">
    <w:abstractNumId w:val="6"/>
  </w:num>
  <w:num w:numId="5">
    <w:abstractNumId w:val="1"/>
  </w:num>
  <w:num w:numId="6">
    <w:abstractNumId w:val="24"/>
  </w:num>
  <w:num w:numId="7">
    <w:abstractNumId w:val="8"/>
  </w:num>
  <w:num w:numId="8">
    <w:abstractNumId w:val="4"/>
  </w:num>
  <w:num w:numId="9">
    <w:abstractNumId w:val="14"/>
  </w:num>
  <w:num w:numId="10">
    <w:abstractNumId w:val="19"/>
  </w:num>
  <w:num w:numId="11">
    <w:abstractNumId w:val="11"/>
  </w:num>
  <w:num w:numId="12">
    <w:abstractNumId w:val="22"/>
  </w:num>
  <w:num w:numId="13">
    <w:abstractNumId w:val="13"/>
  </w:num>
  <w:num w:numId="14">
    <w:abstractNumId w:val="0"/>
  </w:num>
  <w:num w:numId="15">
    <w:abstractNumId w:val="9"/>
  </w:num>
  <w:num w:numId="16">
    <w:abstractNumId w:val="2"/>
  </w:num>
  <w:num w:numId="17">
    <w:abstractNumId w:val="21"/>
  </w:num>
  <w:num w:numId="18">
    <w:abstractNumId w:val="12"/>
  </w:num>
  <w:num w:numId="19">
    <w:abstractNumId w:val="7"/>
  </w:num>
  <w:num w:numId="20">
    <w:abstractNumId w:val="18"/>
  </w:num>
  <w:num w:numId="21">
    <w:abstractNumId w:val="10"/>
  </w:num>
  <w:num w:numId="22">
    <w:abstractNumId w:val="16"/>
  </w:num>
  <w:num w:numId="23">
    <w:abstractNumId w:val="3"/>
  </w:num>
  <w:num w:numId="24">
    <w:abstractNumId w:val="25"/>
  </w:num>
  <w:num w:numId="25">
    <w:abstractNumId w:val="23"/>
  </w:num>
  <w:num w:numId="26">
    <w:abstractNumId w:val="5"/>
  </w:num>
  <w:num w:numId="27">
    <w:abstractNumId w:val="17"/>
  </w:num>
  <w:num w:numId="28">
    <w:abstractNumId w:val="2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颖ʘᴗʘ">
    <w15:presenceInfo w15:providerId="WPS Office" w15:userId="18827185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kwZDM5MTQxYzlkNDFlZjI3MDlkMGNlNjY3NmM0M2QifQ=="/>
  </w:docVars>
  <w:rsids>
    <w:rsidRoot w:val="00594D33"/>
    <w:rsid w:val="0000140A"/>
    <w:rsid w:val="00014ADD"/>
    <w:rsid w:val="000168BC"/>
    <w:rsid w:val="00026937"/>
    <w:rsid w:val="00035F8E"/>
    <w:rsid w:val="000408F6"/>
    <w:rsid w:val="00046EA7"/>
    <w:rsid w:val="00055CB3"/>
    <w:rsid w:val="00056F83"/>
    <w:rsid w:val="00063225"/>
    <w:rsid w:val="00063478"/>
    <w:rsid w:val="00066E16"/>
    <w:rsid w:val="000741C7"/>
    <w:rsid w:val="000759A4"/>
    <w:rsid w:val="00080CBF"/>
    <w:rsid w:val="000815D3"/>
    <w:rsid w:val="00084E19"/>
    <w:rsid w:val="000C52A2"/>
    <w:rsid w:val="000E0850"/>
    <w:rsid w:val="000E392E"/>
    <w:rsid w:val="000E59F6"/>
    <w:rsid w:val="000F1086"/>
    <w:rsid w:val="001220B7"/>
    <w:rsid w:val="00132A87"/>
    <w:rsid w:val="00134903"/>
    <w:rsid w:val="00146283"/>
    <w:rsid w:val="00152494"/>
    <w:rsid w:val="00164700"/>
    <w:rsid w:val="001720AE"/>
    <w:rsid w:val="00181CA0"/>
    <w:rsid w:val="001829E5"/>
    <w:rsid w:val="001952C5"/>
    <w:rsid w:val="001A6915"/>
    <w:rsid w:val="001C6408"/>
    <w:rsid w:val="00221F18"/>
    <w:rsid w:val="00230BA0"/>
    <w:rsid w:val="002311D3"/>
    <w:rsid w:val="00241901"/>
    <w:rsid w:val="002569F2"/>
    <w:rsid w:val="002579F0"/>
    <w:rsid w:val="00271935"/>
    <w:rsid w:val="00284A7E"/>
    <w:rsid w:val="00284F43"/>
    <w:rsid w:val="002A021C"/>
    <w:rsid w:val="002A2C3C"/>
    <w:rsid w:val="002A6BE3"/>
    <w:rsid w:val="002B2782"/>
    <w:rsid w:val="002C1BE0"/>
    <w:rsid w:val="002C2F37"/>
    <w:rsid w:val="002D3275"/>
    <w:rsid w:val="002E1D74"/>
    <w:rsid w:val="002E7848"/>
    <w:rsid w:val="002E79A1"/>
    <w:rsid w:val="002F65D6"/>
    <w:rsid w:val="00300C8D"/>
    <w:rsid w:val="00314EB2"/>
    <w:rsid w:val="0035402A"/>
    <w:rsid w:val="003612AD"/>
    <w:rsid w:val="00365C44"/>
    <w:rsid w:val="00365FBA"/>
    <w:rsid w:val="00381EEA"/>
    <w:rsid w:val="00384114"/>
    <w:rsid w:val="00396EAB"/>
    <w:rsid w:val="003A22F0"/>
    <w:rsid w:val="003B2583"/>
    <w:rsid w:val="003B3685"/>
    <w:rsid w:val="003C385A"/>
    <w:rsid w:val="003D2D81"/>
    <w:rsid w:val="003D5A30"/>
    <w:rsid w:val="003D701C"/>
    <w:rsid w:val="003D79C4"/>
    <w:rsid w:val="003E05E7"/>
    <w:rsid w:val="003F4C7E"/>
    <w:rsid w:val="003F7BAA"/>
    <w:rsid w:val="00435916"/>
    <w:rsid w:val="00440399"/>
    <w:rsid w:val="004430D5"/>
    <w:rsid w:val="00452F30"/>
    <w:rsid w:val="00463786"/>
    <w:rsid w:val="0046669B"/>
    <w:rsid w:val="00470C3E"/>
    <w:rsid w:val="0048009E"/>
    <w:rsid w:val="00481486"/>
    <w:rsid w:val="004A0C61"/>
    <w:rsid w:val="004A5F86"/>
    <w:rsid w:val="004C27B6"/>
    <w:rsid w:val="004C50C1"/>
    <w:rsid w:val="004E0863"/>
    <w:rsid w:val="004E6E24"/>
    <w:rsid w:val="00500EBE"/>
    <w:rsid w:val="00507E55"/>
    <w:rsid w:val="00510E1C"/>
    <w:rsid w:val="00533E59"/>
    <w:rsid w:val="00534477"/>
    <w:rsid w:val="005427B1"/>
    <w:rsid w:val="0055290F"/>
    <w:rsid w:val="00560427"/>
    <w:rsid w:val="005855A9"/>
    <w:rsid w:val="005860AD"/>
    <w:rsid w:val="00592F08"/>
    <w:rsid w:val="00594D33"/>
    <w:rsid w:val="005954BF"/>
    <w:rsid w:val="00596C92"/>
    <w:rsid w:val="005C29C6"/>
    <w:rsid w:val="005C379B"/>
    <w:rsid w:val="005E3AC4"/>
    <w:rsid w:val="005E46D5"/>
    <w:rsid w:val="00620FC8"/>
    <w:rsid w:val="00623D11"/>
    <w:rsid w:val="00625C07"/>
    <w:rsid w:val="00625C83"/>
    <w:rsid w:val="00632535"/>
    <w:rsid w:val="00641C7C"/>
    <w:rsid w:val="0064765B"/>
    <w:rsid w:val="00662060"/>
    <w:rsid w:val="0066776C"/>
    <w:rsid w:val="00667D66"/>
    <w:rsid w:val="006760DE"/>
    <w:rsid w:val="00693892"/>
    <w:rsid w:val="006A4F2E"/>
    <w:rsid w:val="006C3D6F"/>
    <w:rsid w:val="006C68CC"/>
    <w:rsid w:val="006E1B11"/>
    <w:rsid w:val="006E4881"/>
    <w:rsid w:val="0070740B"/>
    <w:rsid w:val="0072321B"/>
    <w:rsid w:val="00752A77"/>
    <w:rsid w:val="00754280"/>
    <w:rsid w:val="00772428"/>
    <w:rsid w:val="00774FC1"/>
    <w:rsid w:val="00776D45"/>
    <w:rsid w:val="00777C36"/>
    <w:rsid w:val="00783657"/>
    <w:rsid w:val="00792522"/>
    <w:rsid w:val="007A29D2"/>
    <w:rsid w:val="007A4478"/>
    <w:rsid w:val="007A4E31"/>
    <w:rsid w:val="007B0C41"/>
    <w:rsid w:val="007B7685"/>
    <w:rsid w:val="007B7D7B"/>
    <w:rsid w:val="007D08B9"/>
    <w:rsid w:val="007F4E6F"/>
    <w:rsid w:val="0083267C"/>
    <w:rsid w:val="00840A52"/>
    <w:rsid w:val="00890C73"/>
    <w:rsid w:val="008A47B3"/>
    <w:rsid w:val="008A4EF5"/>
    <w:rsid w:val="008A74A0"/>
    <w:rsid w:val="008A7C89"/>
    <w:rsid w:val="008B1A8D"/>
    <w:rsid w:val="008C14CE"/>
    <w:rsid w:val="008D770A"/>
    <w:rsid w:val="008E3094"/>
    <w:rsid w:val="008F6D12"/>
    <w:rsid w:val="00917414"/>
    <w:rsid w:val="00923623"/>
    <w:rsid w:val="00924C25"/>
    <w:rsid w:val="00933A63"/>
    <w:rsid w:val="009362B0"/>
    <w:rsid w:val="00941AD8"/>
    <w:rsid w:val="00943C3E"/>
    <w:rsid w:val="00944789"/>
    <w:rsid w:val="00944D20"/>
    <w:rsid w:val="00946963"/>
    <w:rsid w:val="00967189"/>
    <w:rsid w:val="00984C2F"/>
    <w:rsid w:val="00985C23"/>
    <w:rsid w:val="00985DDF"/>
    <w:rsid w:val="00992BA3"/>
    <w:rsid w:val="009C0438"/>
    <w:rsid w:val="009C5468"/>
    <w:rsid w:val="009E59F2"/>
    <w:rsid w:val="009F50EA"/>
    <w:rsid w:val="00A105C8"/>
    <w:rsid w:val="00A12980"/>
    <w:rsid w:val="00A13ADB"/>
    <w:rsid w:val="00A32F2F"/>
    <w:rsid w:val="00A34122"/>
    <w:rsid w:val="00A35700"/>
    <w:rsid w:val="00A3729D"/>
    <w:rsid w:val="00A431D5"/>
    <w:rsid w:val="00A451D4"/>
    <w:rsid w:val="00A462C4"/>
    <w:rsid w:val="00A52C47"/>
    <w:rsid w:val="00A53EA1"/>
    <w:rsid w:val="00A83495"/>
    <w:rsid w:val="00AC0B91"/>
    <w:rsid w:val="00AC15E3"/>
    <w:rsid w:val="00AE1F3C"/>
    <w:rsid w:val="00AF0AB4"/>
    <w:rsid w:val="00AF1ADB"/>
    <w:rsid w:val="00B079F9"/>
    <w:rsid w:val="00B11F76"/>
    <w:rsid w:val="00B13409"/>
    <w:rsid w:val="00B218EE"/>
    <w:rsid w:val="00B41619"/>
    <w:rsid w:val="00B4285F"/>
    <w:rsid w:val="00B52001"/>
    <w:rsid w:val="00B52987"/>
    <w:rsid w:val="00B70752"/>
    <w:rsid w:val="00B70FC2"/>
    <w:rsid w:val="00B74A0A"/>
    <w:rsid w:val="00B766F6"/>
    <w:rsid w:val="00B76F30"/>
    <w:rsid w:val="00B81E25"/>
    <w:rsid w:val="00BD1A99"/>
    <w:rsid w:val="00BD4843"/>
    <w:rsid w:val="00BF054D"/>
    <w:rsid w:val="00BF3DD0"/>
    <w:rsid w:val="00C0484C"/>
    <w:rsid w:val="00C122EC"/>
    <w:rsid w:val="00C21A29"/>
    <w:rsid w:val="00C221D2"/>
    <w:rsid w:val="00C244C0"/>
    <w:rsid w:val="00C27D96"/>
    <w:rsid w:val="00C340A2"/>
    <w:rsid w:val="00C35FE6"/>
    <w:rsid w:val="00C43EF9"/>
    <w:rsid w:val="00C46822"/>
    <w:rsid w:val="00C87C5D"/>
    <w:rsid w:val="00C9059B"/>
    <w:rsid w:val="00C964F3"/>
    <w:rsid w:val="00CB48BD"/>
    <w:rsid w:val="00CB55B9"/>
    <w:rsid w:val="00CC158C"/>
    <w:rsid w:val="00CD4E95"/>
    <w:rsid w:val="00D07397"/>
    <w:rsid w:val="00D47325"/>
    <w:rsid w:val="00D504B9"/>
    <w:rsid w:val="00D50CFC"/>
    <w:rsid w:val="00D55E50"/>
    <w:rsid w:val="00D567B9"/>
    <w:rsid w:val="00D64B84"/>
    <w:rsid w:val="00D73386"/>
    <w:rsid w:val="00D77151"/>
    <w:rsid w:val="00D85F35"/>
    <w:rsid w:val="00D900BA"/>
    <w:rsid w:val="00DA7E43"/>
    <w:rsid w:val="00DB52C3"/>
    <w:rsid w:val="00DE14A5"/>
    <w:rsid w:val="00E01531"/>
    <w:rsid w:val="00E0431F"/>
    <w:rsid w:val="00E1033B"/>
    <w:rsid w:val="00E10C13"/>
    <w:rsid w:val="00E17AEA"/>
    <w:rsid w:val="00E35400"/>
    <w:rsid w:val="00E369AC"/>
    <w:rsid w:val="00E507D8"/>
    <w:rsid w:val="00E5201D"/>
    <w:rsid w:val="00E56C30"/>
    <w:rsid w:val="00E76870"/>
    <w:rsid w:val="00E76987"/>
    <w:rsid w:val="00E901C1"/>
    <w:rsid w:val="00EA393F"/>
    <w:rsid w:val="00EB6CC1"/>
    <w:rsid w:val="00ED7B1E"/>
    <w:rsid w:val="00EE4EDF"/>
    <w:rsid w:val="00F051D2"/>
    <w:rsid w:val="00F15301"/>
    <w:rsid w:val="00F16215"/>
    <w:rsid w:val="00F35A3A"/>
    <w:rsid w:val="00F57DD9"/>
    <w:rsid w:val="00F875AF"/>
    <w:rsid w:val="00FB21C1"/>
    <w:rsid w:val="00FB2B59"/>
    <w:rsid w:val="00FB40AE"/>
    <w:rsid w:val="00FB486D"/>
    <w:rsid w:val="00FC2618"/>
    <w:rsid w:val="00FD7CDA"/>
    <w:rsid w:val="00FF0B6E"/>
    <w:rsid w:val="00FF2809"/>
    <w:rsid w:val="014D28C9"/>
    <w:rsid w:val="015C0D85"/>
    <w:rsid w:val="01791910"/>
    <w:rsid w:val="018F3359"/>
    <w:rsid w:val="02672F4B"/>
    <w:rsid w:val="02783976"/>
    <w:rsid w:val="029F5A47"/>
    <w:rsid w:val="029F663A"/>
    <w:rsid w:val="02C67BA4"/>
    <w:rsid w:val="030506AF"/>
    <w:rsid w:val="030555C0"/>
    <w:rsid w:val="038E26A7"/>
    <w:rsid w:val="03FE65F5"/>
    <w:rsid w:val="043C2B5E"/>
    <w:rsid w:val="04CB69EF"/>
    <w:rsid w:val="04E24CCF"/>
    <w:rsid w:val="053344C6"/>
    <w:rsid w:val="05481AD6"/>
    <w:rsid w:val="054A0A71"/>
    <w:rsid w:val="05B338B0"/>
    <w:rsid w:val="05CD0926"/>
    <w:rsid w:val="0600615C"/>
    <w:rsid w:val="07245E7A"/>
    <w:rsid w:val="07AF71C6"/>
    <w:rsid w:val="07CF39A8"/>
    <w:rsid w:val="07F95559"/>
    <w:rsid w:val="086C1887"/>
    <w:rsid w:val="08730E67"/>
    <w:rsid w:val="088E6236"/>
    <w:rsid w:val="089F0F5F"/>
    <w:rsid w:val="08B03F1F"/>
    <w:rsid w:val="08D13DE0"/>
    <w:rsid w:val="08DB455E"/>
    <w:rsid w:val="09067F2D"/>
    <w:rsid w:val="090E293E"/>
    <w:rsid w:val="092D144C"/>
    <w:rsid w:val="092D3B3A"/>
    <w:rsid w:val="09714747"/>
    <w:rsid w:val="09B0617D"/>
    <w:rsid w:val="0A957010"/>
    <w:rsid w:val="0AC05ED5"/>
    <w:rsid w:val="0ACF2BA1"/>
    <w:rsid w:val="0B00769A"/>
    <w:rsid w:val="0B0C7351"/>
    <w:rsid w:val="0B5D195B"/>
    <w:rsid w:val="0B8C1969"/>
    <w:rsid w:val="0C83531D"/>
    <w:rsid w:val="0C935725"/>
    <w:rsid w:val="0D611D61"/>
    <w:rsid w:val="0E0D2BB5"/>
    <w:rsid w:val="0F5A4B2F"/>
    <w:rsid w:val="0F6F5D3F"/>
    <w:rsid w:val="0F90172D"/>
    <w:rsid w:val="0FA7589A"/>
    <w:rsid w:val="0FCB127F"/>
    <w:rsid w:val="10CB004C"/>
    <w:rsid w:val="11717F0E"/>
    <w:rsid w:val="118D623C"/>
    <w:rsid w:val="11A270FD"/>
    <w:rsid w:val="11AD363C"/>
    <w:rsid w:val="11CE1648"/>
    <w:rsid w:val="12211934"/>
    <w:rsid w:val="12353631"/>
    <w:rsid w:val="127001C5"/>
    <w:rsid w:val="134B06D4"/>
    <w:rsid w:val="13A107F6"/>
    <w:rsid w:val="13AB43FB"/>
    <w:rsid w:val="13C7475D"/>
    <w:rsid w:val="142851FC"/>
    <w:rsid w:val="143349D7"/>
    <w:rsid w:val="14741FA9"/>
    <w:rsid w:val="14776E55"/>
    <w:rsid w:val="14D20FD1"/>
    <w:rsid w:val="14F92D85"/>
    <w:rsid w:val="15115C90"/>
    <w:rsid w:val="153D4CD7"/>
    <w:rsid w:val="15864359"/>
    <w:rsid w:val="15B65E9C"/>
    <w:rsid w:val="15F22707"/>
    <w:rsid w:val="16556050"/>
    <w:rsid w:val="1662258B"/>
    <w:rsid w:val="16AD7C3A"/>
    <w:rsid w:val="16CA3377"/>
    <w:rsid w:val="171075A3"/>
    <w:rsid w:val="1730666E"/>
    <w:rsid w:val="176D73C9"/>
    <w:rsid w:val="17902F0F"/>
    <w:rsid w:val="179E26FC"/>
    <w:rsid w:val="17A462A1"/>
    <w:rsid w:val="17AE2E2B"/>
    <w:rsid w:val="17B9357F"/>
    <w:rsid w:val="18305058"/>
    <w:rsid w:val="184A4525"/>
    <w:rsid w:val="18E436BB"/>
    <w:rsid w:val="1901183B"/>
    <w:rsid w:val="19121FD6"/>
    <w:rsid w:val="19BB441C"/>
    <w:rsid w:val="1A5963CC"/>
    <w:rsid w:val="1A6C711B"/>
    <w:rsid w:val="1B0C2B11"/>
    <w:rsid w:val="1B8227E1"/>
    <w:rsid w:val="1BAE7C15"/>
    <w:rsid w:val="1C626DD1"/>
    <w:rsid w:val="1CA27B15"/>
    <w:rsid w:val="1CF10155"/>
    <w:rsid w:val="1D2F7357"/>
    <w:rsid w:val="1DF12489"/>
    <w:rsid w:val="1E960FB4"/>
    <w:rsid w:val="1EEE073F"/>
    <w:rsid w:val="1F376E20"/>
    <w:rsid w:val="1F6C6B8C"/>
    <w:rsid w:val="1FC41B50"/>
    <w:rsid w:val="1FF143FE"/>
    <w:rsid w:val="1FFE1506"/>
    <w:rsid w:val="202650BB"/>
    <w:rsid w:val="203A7FAE"/>
    <w:rsid w:val="205C5ED0"/>
    <w:rsid w:val="20996921"/>
    <w:rsid w:val="211C5C87"/>
    <w:rsid w:val="215F4F10"/>
    <w:rsid w:val="216931DD"/>
    <w:rsid w:val="21DE15EF"/>
    <w:rsid w:val="226A56BC"/>
    <w:rsid w:val="22BA6370"/>
    <w:rsid w:val="231D30DF"/>
    <w:rsid w:val="238535D5"/>
    <w:rsid w:val="23DB30CC"/>
    <w:rsid w:val="2443152B"/>
    <w:rsid w:val="244914A4"/>
    <w:rsid w:val="24882100"/>
    <w:rsid w:val="24A62FA9"/>
    <w:rsid w:val="25146FAB"/>
    <w:rsid w:val="25393E1E"/>
    <w:rsid w:val="253A0784"/>
    <w:rsid w:val="257F09F3"/>
    <w:rsid w:val="258D0037"/>
    <w:rsid w:val="25900E53"/>
    <w:rsid w:val="264F6850"/>
    <w:rsid w:val="26C959C4"/>
    <w:rsid w:val="271E5CD6"/>
    <w:rsid w:val="272C4BAB"/>
    <w:rsid w:val="27AA07FB"/>
    <w:rsid w:val="2804217C"/>
    <w:rsid w:val="281F281F"/>
    <w:rsid w:val="28374829"/>
    <w:rsid w:val="284A1E00"/>
    <w:rsid w:val="286E68DE"/>
    <w:rsid w:val="291E53B5"/>
    <w:rsid w:val="29275D33"/>
    <w:rsid w:val="294E0A08"/>
    <w:rsid w:val="2981123C"/>
    <w:rsid w:val="29D11D55"/>
    <w:rsid w:val="29E74948"/>
    <w:rsid w:val="2A330078"/>
    <w:rsid w:val="2A3C7526"/>
    <w:rsid w:val="2A82293A"/>
    <w:rsid w:val="2A9A007E"/>
    <w:rsid w:val="2AA27307"/>
    <w:rsid w:val="2B047C86"/>
    <w:rsid w:val="2B195446"/>
    <w:rsid w:val="2B377B00"/>
    <w:rsid w:val="2B3A6011"/>
    <w:rsid w:val="2B5C4B88"/>
    <w:rsid w:val="2B674A91"/>
    <w:rsid w:val="2B895FC1"/>
    <w:rsid w:val="2B9B40AD"/>
    <w:rsid w:val="2BE27F2E"/>
    <w:rsid w:val="2BF3200A"/>
    <w:rsid w:val="2C233B0B"/>
    <w:rsid w:val="2C701B05"/>
    <w:rsid w:val="2CCA4879"/>
    <w:rsid w:val="2D3306C4"/>
    <w:rsid w:val="2D413170"/>
    <w:rsid w:val="2D594C1C"/>
    <w:rsid w:val="2D676CDC"/>
    <w:rsid w:val="2DEF06E0"/>
    <w:rsid w:val="2E4E2132"/>
    <w:rsid w:val="2E5774A9"/>
    <w:rsid w:val="2E7A24CB"/>
    <w:rsid w:val="2F956846"/>
    <w:rsid w:val="2FA95E01"/>
    <w:rsid w:val="2FBB034A"/>
    <w:rsid w:val="2FD62F3F"/>
    <w:rsid w:val="30054C8E"/>
    <w:rsid w:val="30245B8C"/>
    <w:rsid w:val="30374744"/>
    <w:rsid w:val="305A5F0C"/>
    <w:rsid w:val="30627082"/>
    <w:rsid w:val="310B3B52"/>
    <w:rsid w:val="311A7038"/>
    <w:rsid w:val="315174A9"/>
    <w:rsid w:val="318019D6"/>
    <w:rsid w:val="31AF554F"/>
    <w:rsid w:val="32111897"/>
    <w:rsid w:val="32770033"/>
    <w:rsid w:val="32D53636"/>
    <w:rsid w:val="32DC7485"/>
    <w:rsid w:val="3316488E"/>
    <w:rsid w:val="33190443"/>
    <w:rsid w:val="33B128BA"/>
    <w:rsid w:val="33F678D7"/>
    <w:rsid w:val="340B78F6"/>
    <w:rsid w:val="340F49D1"/>
    <w:rsid w:val="34237336"/>
    <w:rsid w:val="34447223"/>
    <w:rsid w:val="34735BC7"/>
    <w:rsid w:val="34756830"/>
    <w:rsid w:val="347943E5"/>
    <w:rsid w:val="34983FD9"/>
    <w:rsid w:val="34C46423"/>
    <w:rsid w:val="34DA1B5C"/>
    <w:rsid w:val="34E12D80"/>
    <w:rsid w:val="35066A3B"/>
    <w:rsid w:val="3619279E"/>
    <w:rsid w:val="364F40D2"/>
    <w:rsid w:val="36586E08"/>
    <w:rsid w:val="36F8373D"/>
    <w:rsid w:val="37086BBA"/>
    <w:rsid w:val="37865F13"/>
    <w:rsid w:val="379B73DF"/>
    <w:rsid w:val="37AE5168"/>
    <w:rsid w:val="37F55FE4"/>
    <w:rsid w:val="38273122"/>
    <w:rsid w:val="38393B18"/>
    <w:rsid w:val="38443FB2"/>
    <w:rsid w:val="389C3213"/>
    <w:rsid w:val="38B83E22"/>
    <w:rsid w:val="399F120C"/>
    <w:rsid w:val="3A120FC7"/>
    <w:rsid w:val="3A4C28DB"/>
    <w:rsid w:val="3B084B8F"/>
    <w:rsid w:val="3B225C51"/>
    <w:rsid w:val="3B4D736E"/>
    <w:rsid w:val="3B800CEA"/>
    <w:rsid w:val="3B9F3D18"/>
    <w:rsid w:val="3C157564"/>
    <w:rsid w:val="3C1F7768"/>
    <w:rsid w:val="3C3B5BC6"/>
    <w:rsid w:val="3C5E3F9A"/>
    <w:rsid w:val="3C690AF6"/>
    <w:rsid w:val="3C746980"/>
    <w:rsid w:val="3CCB2319"/>
    <w:rsid w:val="3D567E34"/>
    <w:rsid w:val="3D765A60"/>
    <w:rsid w:val="3D8E75CE"/>
    <w:rsid w:val="3DE26697"/>
    <w:rsid w:val="3E244263"/>
    <w:rsid w:val="3E440523"/>
    <w:rsid w:val="3E73334C"/>
    <w:rsid w:val="3F4C77F4"/>
    <w:rsid w:val="3F6E1604"/>
    <w:rsid w:val="3F8E10C6"/>
    <w:rsid w:val="3FC706CF"/>
    <w:rsid w:val="3FD507C3"/>
    <w:rsid w:val="40761890"/>
    <w:rsid w:val="409254D8"/>
    <w:rsid w:val="409E3FCC"/>
    <w:rsid w:val="40C1016A"/>
    <w:rsid w:val="41335D39"/>
    <w:rsid w:val="41AD4111"/>
    <w:rsid w:val="41BE50D3"/>
    <w:rsid w:val="41DB5041"/>
    <w:rsid w:val="42D24401"/>
    <w:rsid w:val="4312380D"/>
    <w:rsid w:val="432664FB"/>
    <w:rsid w:val="432A42D2"/>
    <w:rsid w:val="43617533"/>
    <w:rsid w:val="437D4956"/>
    <w:rsid w:val="43B81849"/>
    <w:rsid w:val="44362ECE"/>
    <w:rsid w:val="449519EF"/>
    <w:rsid w:val="4507315C"/>
    <w:rsid w:val="4563395F"/>
    <w:rsid w:val="45967968"/>
    <w:rsid w:val="46110879"/>
    <w:rsid w:val="462705C0"/>
    <w:rsid w:val="46510AB5"/>
    <w:rsid w:val="469B1E35"/>
    <w:rsid w:val="46AE0CE1"/>
    <w:rsid w:val="47422AD1"/>
    <w:rsid w:val="477C4207"/>
    <w:rsid w:val="47C5711C"/>
    <w:rsid w:val="47D34DF8"/>
    <w:rsid w:val="47EF74AA"/>
    <w:rsid w:val="48605342"/>
    <w:rsid w:val="48831CF9"/>
    <w:rsid w:val="48AD51DE"/>
    <w:rsid w:val="49281E8A"/>
    <w:rsid w:val="49A377C0"/>
    <w:rsid w:val="49E014BA"/>
    <w:rsid w:val="4A227A1C"/>
    <w:rsid w:val="4A2C089A"/>
    <w:rsid w:val="4A7B6CEC"/>
    <w:rsid w:val="4B10647C"/>
    <w:rsid w:val="4B7C7600"/>
    <w:rsid w:val="4BF11E64"/>
    <w:rsid w:val="4C214D1D"/>
    <w:rsid w:val="4C304C0E"/>
    <w:rsid w:val="4C5B0A37"/>
    <w:rsid w:val="4CC4764D"/>
    <w:rsid w:val="4CD22F01"/>
    <w:rsid w:val="4CF474E6"/>
    <w:rsid w:val="4D027691"/>
    <w:rsid w:val="4D032CCC"/>
    <w:rsid w:val="4D0C3E87"/>
    <w:rsid w:val="4D2910C1"/>
    <w:rsid w:val="4D581648"/>
    <w:rsid w:val="4DB637EB"/>
    <w:rsid w:val="4DD43B63"/>
    <w:rsid w:val="4DE01AC7"/>
    <w:rsid w:val="4E3715BC"/>
    <w:rsid w:val="4E571410"/>
    <w:rsid w:val="4F0739D7"/>
    <w:rsid w:val="4F121DD0"/>
    <w:rsid w:val="4FE92CD6"/>
    <w:rsid w:val="51052535"/>
    <w:rsid w:val="5107101E"/>
    <w:rsid w:val="517B2E25"/>
    <w:rsid w:val="51850F13"/>
    <w:rsid w:val="51971F5E"/>
    <w:rsid w:val="52135808"/>
    <w:rsid w:val="52240C11"/>
    <w:rsid w:val="529F6B22"/>
    <w:rsid w:val="52DC4C21"/>
    <w:rsid w:val="53E33203"/>
    <w:rsid w:val="540B4957"/>
    <w:rsid w:val="544D5142"/>
    <w:rsid w:val="54890E82"/>
    <w:rsid w:val="54A16650"/>
    <w:rsid w:val="550D3076"/>
    <w:rsid w:val="55211A05"/>
    <w:rsid w:val="55263A0D"/>
    <w:rsid w:val="55983288"/>
    <w:rsid w:val="55B14E8F"/>
    <w:rsid w:val="56933A4F"/>
    <w:rsid w:val="569357FD"/>
    <w:rsid w:val="571D0F95"/>
    <w:rsid w:val="574371F3"/>
    <w:rsid w:val="57716AB9"/>
    <w:rsid w:val="57AD65EE"/>
    <w:rsid w:val="57CA34A1"/>
    <w:rsid w:val="58083CDE"/>
    <w:rsid w:val="581A454B"/>
    <w:rsid w:val="5853793A"/>
    <w:rsid w:val="589430D5"/>
    <w:rsid w:val="59275DC1"/>
    <w:rsid w:val="59756123"/>
    <w:rsid w:val="59A44D2D"/>
    <w:rsid w:val="5AA118AB"/>
    <w:rsid w:val="5B04316E"/>
    <w:rsid w:val="5BA54009"/>
    <w:rsid w:val="5BC95B6B"/>
    <w:rsid w:val="5BE90EF8"/>
    <w:rsid w:val="5C27230A"/>
    <w:rsid w:val="5C875E04"/>
    <w:rsid w:val="5CB5020F"/>
    <w:rsid w:val="5CF8795F"/>
    <w:rsid w:val="5D0447D5"/>
    <w:rsid w:val="5DB2384A"/>
    <w:rsid w:val="5DC8742A"/>
    <w:rsid w:val="5E960581"/>
    <w:rsid w:val="5EE24DA6"/>
    <w:rsid w:val="5EEE5CC7"/>
    <w:rsid w:val="5FC92639"/>
    <w:rsid w:val="5FE80D29"/>
    <w:rsid w:val="60392C69"/>
    <w:rsid w:val="608A1A1F"/>
    <w:rsid w:val="60AE7904"/>
    <w:rsid w:val="60BA3CEC"/>
    <w:rsid w:val="618943CD"/>
    <w:rsid w:val="61E32475"/>
    <w:rsid w:val="624F46B3"/>
    <w:rsid w:val="62A87DE0"/>
    <w:rsid w:val="62BF6F04"/>
    <w:rsid w:val="62CC5806"/>
    <w:rsid w:val="62F87114"/>
    <w:rsid w:val="630C7063"/>
    <w:rsid w:val="63351063"/>
    <w:rsid w:val="63674583"/>
    <w:rsid w:val="63990580"/>
    <w:rsid w:val="63A6144B"/>
    <w:rsid w:val="63A64DC2"/>
    <w:rsid w:val="64275B5C"/>
    <w:rsid w:val="64737A5D"/>
    <w:rsid w:val="64852C29"/>
    <w:rsid w:val="64F4532F"/>
    <w:rsid w:val="65031979"/>
    <w:rsid w:val="650F45AE"/>
    <w:rsid w:val="65563A90"/>
    <w:rsid w:val="6589499B"/>
    <w:rsid w:val="65934364"/>
    <w:rsid w:val="65AB1FE2"/>
    <w:rsid w:val="65EC1FCB"/>
    <w:rsid w:val="65ED5E76"/>
    <w:rsid w:val="66001B44"/>
    <w:rsid w:val="660918B0"/>
    <w:rsid w:val="668D482E"/>
    <w:rsid w:val="66DB6668"/>
    <w:rsid w:val="66FB5544"/>
    <w:rsid w:val="67661F8C"/>
    <w:rsid w:val="67AE1C77"/>
    <w:rsid w:val="67BF6452"/>
    <w:rsid w:val="67F75096"/>
    <w:rsid w:val="686139AD"/>
    <w:rsid w:val="68A33FD5"/>
    <w:rsid w:val="69045974"/>
    <w:rsid w:val="69074133"/>
    <w:rsid w:val="69391583"/>
    <w:rsid w:val="69735746"/>
    <w:rsid w:val="69815AC9"/>
    <w:rsid w:val="69AB675B"/>
    <w:rsid w:val="69F820EF"/>
    <w:rsid w:val="6A321B28"/>
    <w:rsid w:val="6A771266"/>
    <w:rsid w:val="6AAE4B40"/>
    <w:rsid w:val="6B4725E4"/>
    <w:rsid w:val="6B696CD9"/>
    <w:rsid w:val="6B7F3390"/>
    <w:rsid w:val="6BC12AD2"/>
    <w:rsid w:val="6C156F89"/>
    <w:rsid w:val="6C4258A4"/>
    <w:rsid w:val="6C432C78"/>
    <w:rsid w:val="6CA43E69"/>
    <w:rsid w:val="6D65397C"/>
    <w:rsid w:val="6DBB76BC"/>
    <w:rsid w:val="6DBE5CB9"/>
    <w:rsid w:val="6DC63EEA"/>
    <w:rsid w:val="6DC76061"/>
    <w:rsid w:val="6DF709A1"/>
    <w:rsid w:val="6E096B57"/>
    <w:rsid w:val="6E292877"/>
    <w:rsid w:val="6E7F45EB"/>
    <w:rsid w:val="6EDF73DA"/>
    <w:rsid w:val="6EE64C0C"/>
    <w:rsid w:val="6F125A01"/>
    <w:rsid w:val="6F4F624B"/>
    <w:rsid w:val="6F776C1C"/>
    <w:rsid w:val="6FC638CF"/>
    <w:rsid w:val="7000333A"/>
    <w:rsid w:val="703136BE"/>
    <w:rsid w:val="70C42D2B"/>
    <w:rsid w:val="710D0EA4"/>
    <w:rsid w:val="714C1CC5"/>
    <w:rsid w:val="71FE401B"/>
    <w:rsid w:val="721455EC"/>
    <w:rsid w:val="72510775"/>
    <w:rsid w:val="726B5F65"/>
    <w:rsid w:val="727052B0"/>
    <w:rsid w:val="72AB0743"/>
    <w:rsid w:val="72B74FF3"/>
    <w:rsid w:val="73352289"/>
    <w:rsid w:val="73A05E46"/>
    <w:rsid w:val="73ED07EB"/>
    <w:rsid w:val="7416564C"/>
    <w:rsid w:val="746048BB"/>
    <w:rsid w:val="74963AD4"/>
    <w:rsid w:val="74A33BFA"/>
    <w:rsid w:val="74F82D7D"/>
    <w:rsid w:val="751D4246"/>
    <w:rsid w:val="75267B11"/>
    <w:rsid w:val="759A04FF"/>
    <w:rsid w:val="7621477C"/>
    <w:rsid w:val="76A2375E"/>
    <w:rsid w:val="76C5219A"/>
    <w:rsid w:val="76FB3D8E"/>
    <w:rsid w:val="77057245"/>
    <w:rsid w:val="77100A78"/>
    <w:rsid w:val="7747515C"/>
    <w:rsid w:val="77980A6E"/>
    <w:rsid w:val="77997D8A"/>
    <w:rsid w:val="779C20DA"/>
    <w:rsid w:val="77AB69F3"/>
    <w:rsid w:val="77E81E5F"/>
    <w:rsid w:val="77FA7033"/>
    <w:rsid w:val="77FB6923"/>
    <w:rsid w:val="780660FE"/>
    <w:rsid w:val="78673ACC"/>
    <w:rsid w:val="78755EE0"/>
    <w:rsid w:val="792E51E6"/>
    <w:rsid w:val="799F326C"/>
    <w:rsid w:val="79CA77E7"/>
    <w:rsid w:val="7AAF67FA"/>
    <w:rsid w:val="7B8E01BA"/>
    <w:rsid w:val="7B952FC6"/>
    <w:rsid w:val="7B9F23CB"/>
    <w:rsid w:val="7BB031FD"/>
    <w:rsid w:val="7BCC55C4"/>
    <w:rsid w:val="7BE16B3B"/>
    <w:rsid w:val="7C466493"/>
    <w:rsid w:val="7C6D24C9"/>
    <w:rsid w:val="7CA103C5"/>
    <w:rsid w:val="7CAB4D9F"/>
    <w:rsid w:val="7D2A660C"/>
    <w:rsid w:val="7D3D4905"/>
    <w:rsid w:val="7D7635FF"/>
    <w:rsid w:val="7D853842"/>
    <w:rsid w:val="7D9F2B56"/>
    <w:rsid w:val="7DB67B7C"/>
    <w:rsid w:val="7DED28BD"/>
    <w:rsid w:val="7E0800A0"/>
    <w:rsid w:val="7E0F279C"/>
    <w:rsid w:val="7E1975DF"/>
    <w:rsid w:val="7E2748F9"/>
    <w:rsid w:val="7E65093E"/>
    <w:rsid w:val="7E8F7C86"/>
    <w:rsid w:val="7F871AF4"/>
    <w:rsid w:val="7F987EAC"/>
    <w:rsid w:val="7F9B5842"/>
    <w:rsid w:val="7FF4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240" w:after="240" w:line="400" w:lineRule="atLeast"/>
      <w:jc w:val="center"/>
      <w:textAlignment w:val="baseline"/>
      <w:outlineLvl w:val="0"/>
    </w:pPr>
    <w:rPr>
      <w:rFonts w:eastAsia="黑体"/>
      <w:b/>
      <w:w w:val="120"/>
      <w:kern w:val="44"/>
      <w:sz w:val="36"/>
      <w:szCs w:val="20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adjustRightInd w:val="0"/>
      <w:spacing w:before="240" w:after="240" w:line="400" w:lineRule="atLeast"/>
      <w:jc w:val="left"/>
      <w:textAlignment w:val="baseline"/>
      <w:outlineLvl w:val="1"/>
    </w:pPr>
    <w:rPr>
      <w:rFonts w:eastAsia="黑体"/>
      <w:b/>
      <w:kern w:val="0"/>
      <w:sz w:val="36"/>
      <w:szCs w:val="20"/>
    </w:rPr>
  </w:style>
  <w:style w:type="paragraph" w:styleId="5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adjustRightInd w:val="0"/>
      <w:spacing w:before="120" w:line="416" w:lineRule="atLeast"/>
      <w:textAlignment w:val="baseline"/>
      <w:outlineLvl w:val="2"/>
    </w:pPr>
    <w:rPr>
      <w:rFonts w:eastAsia="黑体"/>
      <w:b/>
      <w:kern w:val="0"/>
      <w:sz w:val="32"/>
      <w:szCs w:val="20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adjustRightInd w:val="0"/>
      <w:spacing w:before="240" w:after="120" w:line="240" w:lineRule="atLeast"/>
      <w:textAlignment w:val="baseline"/>
      <w:outlineLvl w:val="3"/>
    </w:pPr>
    <w:rPr>
      <w:rFonts w:eastAsia="黑体"/>
      <w:b/>
      <w:kern w:val="0"/>
      <w:sz w:val="30"/>
      <w:szCs w:val="20"/>
    </w:rPr>
  </w:style>
  <w:style w:type="paragraph" w:styleId="7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adjustRightInd w:val="0"/>
      <w:spacing w:before="280" w:after="290" w:line="376" w:lineRule="atLeast"/>
      <w:textAlignment w:val="baseline"/>
      <w:outlineLvl w:val="4"/>
    </w:pPr>
    <w:rPr>
      <w:rFonts w:eastAsia="黑体"/>
      <w:b/>
      <w:kern w:val="0"/>
      <w:sz w:val="28"/>
      <w:szCs w:val="20"/>
    </w:rPr>
  </w:style>
  <w:style w:type="paragraph" w:styleId="8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adjustRightInd w:val="0"/>
      <w:spacing w:before="240" w:after="64" w:line="320" w:lineRule="atLeast"/>
      <w:textAlignment w:val="baseline"/>
      <w:outlineLvl w:val="5"/>
    </w:pPr>
    <w:rPr>
      <w:rFonts w:ascii="Arial" w:hAnsi="Arial" w:eastAsia="黑体"/>
      <w:b/>
      <w:kern w:val="0"/>
      <w:szCs w:val="20"/>
    </w:rPr>
  </w:style>
  <w:style w:type="paragraph" w:styleId="9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adjustRightInd w:val="0"/>
      <w:spacing w:before="240" w:after="64" w:line="320" w:lineRule="atLeast"/>
      <w:textAlignment w:val="baseline"/>
      <w:outlineLvl w:val="6"/>
    </w:pPr>
    <w:rPr>
      <w:b/>
      <w:kern w:val="0"/>
      <w:szCs w:val="20"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20" w:lineRule="atLeast"/>
      <w:textAlignment w:val="baseline"/>
      <w:outlineLvl w:val="7"/>
    </w:pPr>
    <w:rPr>
      <w:rFonts w:ascii="Arial" w:hAnsi="Arial" w:eastAsia="黑体"/>
      <w:kern w:val="0"/>
      <w:szCs w:val="20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20" w:lineRule="atLeast"/>
      <w:textAlignment w:val="baseline"/>
      <w:outlineLvl w:val="8"/>
    </w:pPr>
    <w:rPr>
      <w:rFonts w:ascii="Arial" w:hAnsi="Arial" w:eastAsia="黑体"/>
      <w:kern w:val="0"/>
      <w:szCs w:val="20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adjustRightInd w:val="0"/>
      <w:spacing w:line="400" w:lineRule="atLeast"/>
      <w:ind w:firstLine="510"/>
      <w:textAlignment w:val="baseline"/>
    </w:pPr>
    <w:rPr>
      <w:rFonts w:eastAsia="微软雅黑"/>
      <w:kern w:val="0"/>
      <w:szCs w:val="20"/>
    </w:rPr>
  </w:style>
  <w:style w:type="paragraph" w:styleId="12">
    <w:name w:val="toc 7"/>
    <w:basedOn w:val="1"/>
    <w:next w:val="1"/>
    <w:semiHidden/>
    <w:qFormat/>
    <w:uiPriority w:val="0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qFormat/>
    <w:uiPriority w:val="0"/>
    <w:pPr>
      <w:keepNext w:val="0"/>
      <w:keepLines w:val="0"/>
      <w:pageBreakBefore w:val="0"/>
      <w:framePr w:wrap="around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360" w:lineRule="auto"/>
      <w:ind w:left="0" w:right="0" w:firstLine="0"/>
      <w:jc w:val="left"/>
      <w:outlineLvl w:val="9"/>
    </w:pPr>
    <w:rPr>
      <w:rFonts w:hint="eastAsia" w:ascii="Arial Unicode MS" w:hAnsi="Arial Unicode MS" w:eastAsia="Times New Roman" w:cs="Arial Unicode MS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15">
    <w:name w:val="Body Text 3"/>
    <w:basedOn w:val="1"/>
    <w:qFormat/>
    <w:uiPriority w:val="0"/>
    <w:pPr>
      <w:jc w:val="center"/>
    </w:pPr>
  </w:style>
  <w:style w:type="paragraph" w:styleId="16">
    <w:name w:val="Body Text"/>
    <w:basedOn w:val="1"/>
    <w:qFormat/>
    <w:uiPriority w:val="0"/>
  </w:style>
  <w:style w:type="paragraph" w:styleId="17">
    <w:name w:val="toc 5"/>
    <w:basedOn w:val="1"/>
    <w:next w:val="1"/>
    <w:semiHidden/>
    <w:qFormat/>
    <w:uiPriority w:val="0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18">
    <w:name w:val="toc 3"/>
    <w:basedOn w:val="1"/>
    <w:next w:val="1"/>
    <w:qFormat/>
    <w:uiPriority w:val="39"/>
    <w:pPr>
      <w:ind w:left="480"/>
      <w:jc w:val="left"/>
    </w:pPr>
    <w:rPr>
      <w:rFonts w:asciiTheme="minorHAnsi" w:eastAsiaTheme="minorHAnsi"/>
      <w:i/>
      <w:iCs/>
      <w:sz w:val="22"/>
      <w:szCs w:val="22"/>
    </w:rPr>
  </w:style>
  <w:style w:type="paragraph" w:styleId="19">
    <w:name w:val="toc 8"/>
    <w:basedOn w:val="1"/>
    <w:next w:val="1"/>
    <w:semiHidden/>
    <w:qFormat/>
    <w:uiPriority w:val="0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20">
    <w:name w:val="Date"/>
    <w:basedOn w:val="1"/>
    <w:next w:val="1"/>
    <w:qFormat/>
    <w:uiPriority w:val="0"/>
    <w:pPr>
      <w:ind w:left="100" w:leftChars="2500"/>
    </w:pPr>
  </w:style>
  <w:style w:type="paragraph" w:styleId="21">
    <w:name w:val="Balloon Text"/>
    <w:basedOn w:val="1"/>
    <w:link w:val="42"/>
    <w:qFormat/>
    <w:uiPriority w:val="0"/>
    <w:pPr>
      <w:spacing w:line="240" w:lineRule="auto"/>
    </w:pPr>
    <w:rPr>
      <w:sz w:val="18"/>
      <w:szCs w:val="18"/>
    </w:rPr>
  </w:style>
  <w:style w:type="paragraph" w:styleId="2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3">
    <w:name w:val="header"/>
    <w:basedOn w:val="1"/>
    <w:link w:val="4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semiHidden/>
    <w:qFormat/>
    <w:uiPriority w:val="0"/>
    <w:pPr>
      <w:spacing w:before="120"/>
      <w:jc w:val="left"/>
    </w:pPr>
    <w:rPr>
      <w:rFonts w:asciiTheme="minorHAnsi" w:eastAsiaTheme="minorHAnsi"/>
      <w:b/>
      <w:bCs/>
      <w:caps/>
      <w:sz w:val="22"/>
      <w:szCs w:val="22"/>
    </w:rPr>
  </w:style>
  <w:style w:type="paragraph" w:styleId="25">
    <w:name w:val="toc 4"/>
    <w:basedOn w:val="1"/>
    <w:next w:val="1"/>
    <w:semiHidden/>
    <w:qFormat/>
    <w:uiPriority w:val="0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link w:val="43"/>
    <w:qFormat/>
    <w:uiPriority w:val="0"/>
    <w:pPr>
      <w:spacing w:line="300" w:lineRule="auto"/>
      <w:ind w:firstLine="200" w:firstLineChars="200"/>
      <w:jc w:val="center"/>
    </w:pPr>
    <w:rPr>
      <w:rFonts w:ascii="Arial" w:hAnsi="Arial" w:eastAsia="黑体"/>
      <w:b/>
      <w:sz w:val="30"/>
    </w:rPr>
  </w:style>
  <w:style w:type="paragraph" w:styleId="27">
    <w:name w:val="toc 6"/>
    <w:basedOn w:val="1"/>
    <w:next w:val="1"/>
    <w:semiHidden/>
    <w:qFormat/>
    <w:uiPriority w:val="0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qFormat/>
    <w:uiPriority w:val="39"/>
    <w:pPr>
      <w:ind w:left="240"/>
      <w:jc w:val="left"/>
    </w:pPr>
    <w:rPr>
      <w:rFonts w:asciiTheme="minorHAnsi" w:eastAsiaTheme="minorHAnsi"/>
      <w:smallCaps/>
      <w:sz w:val="22"/>
      <w:szCs w:val="22"/>
    </w:rPr>
  </w:style>
  <w:style w:type="paragraph" w:styleId="29">
    <w:name w:val="toc 9"/>
    <w:basedOn w:val="1"/>
    <w:next w:val="1"/>
    <w:semiHidden/>
    <w:qFormat/>
    <w:uiPriority w:val="0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30">
    <w:name w:val="Body Text 2"/>
    <w:basedOn w:val="1"/>
    <w:qFormat/>
    <w:uiPriority w:val="0"/>
    <w:pPr>
      <w:jc w:val="center"/>
    </w:pPr>
  </w:style>
  <w:style w:type="paragraph" w:styleId="3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Body Text First Indent"/>
    <w:basedOn w:val="16"/>
    <w:qFormat/>
    <w:uiPriority w:val="0"/>
    <w:pPr>
      <w:spacing w:after="120"/>
      <w:ind w:firstLine="420" w:firstLineChars="100"/>
    </w:pPr>
    <w:rPr>
      <w:sz w:val="21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basedOn w:val="35"/>
    <w:qFormat/>
    <w:uiPriority w:val="22"/>
    <w:rPr>
      <w:b/>
      <w:bCs/>
    </w:rPr>
  </w:style>
  <w:style w:type="character" w:styleId="37">
    <w:name w:val="page number"/>
    <w:basedOn w:val="35"/>
    <w:qFormat/>
    <w:uiPriority w:val="0"/>
  </w:style>
  <w:style w:type="character" w:styleId="38">
    <w:name w:val="Emphasis"/>
    <w:basedOn w:val="35"/>
    <w:qFormat/>
    <w:uiPriority w:val="0"/>
    <w:rPr>
      <w:i/>
    </w:rPr>
  </w:style>
  <w:style w:type="character" w:styleId="39">
    <w:name w:val="Hyperlink"/>
    <w:basedOn w:val="35"/>
    <w:qFormat/>
    <w:uiPriority w:val="99"/>
    <w:rPr>
      <w:color w:val="0000FF"/>
      <w:u w:val="single"/>
    </w:rPr>
  </w:style>
  <w:style w:type="character" w:customStyle="1" w:styleId="40">
    <w:name w:val="已访问的超链接1"/>
    <w:basedOn w:val="35"/>
    <w:qFormat/>
    <w:uiPriority w:val="0"/>
    <w:rPr>
      <w:color w:val="800080"/>
      <w:u w:val="single"/>
    </w:rPr>
  </w:style>
  <w:style w:type="character" w:customStyle="1" w:styleId="41">
    <w:name w:val="页眉 字符"/>
    <w:basedOn w:val="35"/>
    <w:link w:val="23"/>
    <w:qFormat/>
    <w:uiPriority w:val="99"/>
    <w:rPr>
      <w:kern w:val="2"/>
      <w:sz w:val="18"/>
      <w:szCs w:val="18"/>
    </w:rPr>
  </w:style>
  <w:style w:type="character" w:customStyle="1" w:styleId="42">
    <w:name w:val="批注框文本 字符"/>
    <w:basedOn w:val="35"/>
    <w:link w:val="21"/>
    <w:qFormat/>
    <w:uiPriority w:val="0"/>
    <w:rPr>
      <w:kern w:val="2"/>
      <w:sz w:val="18"/>
      <w:szCs w:val="18"/>
    </w:rPr>
  </w:style>
  <w:style w:type="character" w:customStyle="1" w:styleId="43">
    <w:name w:val="副标题 字符"/>
    <w:basedOn w:val="35"/>
    <w:link w:val="26"/>
    <w:qFormat/>
    <w:uiPriority w:val="0"/>
    <w:rPr>
      <w:rFonts w:ascii="Arial" w:hAnsi="Arial" w:eastAsia="黑体"/>
      <w:b/>
      <w:kern w:val="2"/>
      <w:sz w:val="30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pageBreakBefore w:val="0"/>
      <w:widowControl/>
      <w:numPr>
        <w:numId w:val="0"/>
      </w:numPr>
      <w:adjustRightInd/>
      <w:spacing w:before="480" w:after="0" w:line="276" w:lineRule="auto"/>
      <w:jc w:val="left"/>
      <w:textAlignment w:val="auto"/>
      <w:outlineLvl w:val="9"/>
    </w:pPr>
    <w:rPr>
      <w:rFonts w:asciiTheme="majorHAnsi" w:hAnsiTheme="majorHAnsi" w:eastAsiaTheme="majorEastAsia" w:cstheme="majorBidi"/>
      <w:bCs/>
      <w:color w:val="2F5597" w:themeColor="accent1" w:themeShade="BF"/>
      <w:w w:val="100"/>
      <w:kern w:val="0"/>
      <w:sz w:val="28"/>
      <w:szCs w:val="28"/>
    </w:rPr>
  </w:style>
  <w:style w:type="character" w:customStyle="1" w:styleId="45">
    <w:name w:val="Unresolved Mention"/>
    <w:basedOn w:val="35"/>
    <w:qFormat/>
    <w:uiPriority w:val="0"/>
    <w:rPr>
      <w:color w:val="605E5C"/>
      <w:shd w:val="clear" w:color="auto" w:fill="E1DFDD"/>
    </w:rPr>
  </w:style>
  <w:style w:type="paragraph" w:styleId="46">
    <w:name w:val="List Paragraph"/>
    <w:basedOn w:val="1"/>
    <w:qFormat/>
    <w:uiPriority w:val="34"/>
    <w:pPr>
      <w:ind w:firstLine="420" w:firstLineChars="200"/>
    </w:pPr>
  </w:style>
  <w:style w:type="paragraph" w:customStyle="1" w:styleId="47">
    <w:name w:val="页眉与页脚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7" Type="http://schemas.microsoft.com/office/2011/relationships/people" Target="people.xml"/><Relationship Id="rId76" Type="http://schemas.openxmlformats.org/officeDocument/2006/relationships/fontTable" Target="fontTable.xml"/><Relationship Id="rId75" Type="http://schemas.openxmlformats.org/officeDocument/2006/relationships/customXml" Target="../customXml/item2.xml"/><Relationship Id="rId74" Type="http://schemas.openxmlformats.org/officeDocument/2006/relationships/numbering" Target="numbering.xml"/><Relationship Id="rId73" Type="http://schemas.openxmlformats.org/officeDocument/2006/relationships/customXml" Target="../customXml/item1.xml"/><Relationship Id="rId72" Type="http://schemas.openxmlformats.org/officeDocument/2006/relationships/image" Target="media/image61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7" Type="http://schemas.openxmlformats.org/officeDocument/2006/relationships/header" Target="header1.xml"/><Relationship Id="rId69" Type="http://schemas.openxmlformats.org/officeDocument/2006/relationships/image" Target="media/image58.png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2" Type="http://schemas.openxmlformats.org/officeDocument/2006/relationships/image" Target="media/image51.png"/><Relationship Id="rId61" Type="http://schemas.openxmlformats.org/officeDocument/2006/relationships/image" Target="media/image50.png"/><Relationship Id="rId60" Type="http://schemas.openxmlformats.org/officeDocument/2006/relationships/image" Target="media/image49.png"/><Relationship Id="rId6" Type="http://schemas.openxmlformats.org/officeDocument/2006/relationships/endnotes" Target="endnotes.xml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footnotes" Target="footnotes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microsoft.com/office/2011/relationships/commentsExtended" Target="commentsExtended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comments" Target="comment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657119C-6982-421D-8BA7-E74DEB70A7D9-1">
      <extobjdata type="E657119C-6982-421D-8BA7-E74DEB70A7D9" data="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789F6F-D27B-4FE1-B5E4-C93AEAF712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48</Pages>
  <Words>5322</Words>
  <Characters>5592</Characters>
  <Lines>15</Lines>
  <Paragraphs>4</Paragraphs>
  <TotalTime>5</TotalTime>
  <ScaleCrop>false</ScaleCrop>
  <LinksUpToDate>false</LinksUpToDate>
  <CharactersWithSpaces>5713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2018-11-09T07:19:00Z</dcterms:created>
  <dc:creator>肖孚晨</dc:creator>
  <cp:lastModifiedBy>颖ʘᴗʘ</cp:lastModifiedBy>
  <cp:lastPrinted>2001-12-27T08:27:00Z</cp:lastPrinted>
  <dcterms:modified xsi:type="dcterms:W3CDTF">2026-04-21T08:15:36Z</dcterms:modified>
  <dc:title>  </dc:title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-173867756</vt:i4>
  </property>
  <property fmtid="{D5CDD505-2E9C-101B-9397-08002B2CF9AE}" pid="3" name="_EmailSubject">
    <vt:lpwstr>公司文档标识</vt:lpwstr>
  </property>
  <property fmtid="{D5CDD505-2E9C-101B-9397-08002B2CF9AE}" pid="4" name="_AuthorEmail">
    <vt:lpwstr>haidew@chinapages.com</vt:lpwstr>
  </property>
  <property fmtid="{D5CDD505-2E9C-101B-9397-08002B2CF9AE}" pid="5" name="_AuthorEmailDisplayName">
    <vt:lpwstr>Haide Wang</vt:lpwstr>
  </property>
  <property fmtid="{D5CDD505-2E9C-101B-9397-08002B2CF9AE}" pid="6" name="_ReviewingToolsShownOnce">
    <vt:lpwstr/>
  </property>
  <property fmtid="{D5CDD505-2E9C-101B-9397-08002B2CF9AE}" pid="7" name="KSOProductBuildVer">
    <vt:lpwstr>2052-12.1.0.25865</vt:lpwstr>
  </property>
  <property fmtid="{D5CDD505-2E9C-101B-9397-08002B2CF9AE}" pid="8" name="ICV">
    <vt:lpwstr>06BBFCB8E51B44D2B39AFCD276BDBE4D</vt:lpwstr>
  </property>
  <property fmtid="{D5CDD505-2E9C-101B-9397-08002B2CF9AE}" pid="9" name="KSOTemplateDocerSaveRecord">
    <vt:lpwstr>eyJoZGlkIjoiYjQxMmUxY2NkYjFmOGNiMDM5ZTA5YWU4NjkyMTI2ZmQiLCJ1c2VySWQiOiI0OTcxNjk0MzIifQ==</vt:lpwstr>
  </property>
</Properties>
</file>