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2C1CD">
      <w:pPr>
        <w:jc w:val="center"/>
      </w:pPr>
    </w:p>
    <w:p w14:paraId="7B58D2CA">
      <w:pPr>
        <w:jc w:val="center"/>
      </w:pPr>
    </w:p>
    <w:p w14:paraId="055707F6">
      <w:pPr>
        <w:ind w:left="210" w:right="540" w:firstLine="0"/>
        <w:jc w:val="center"/>
        <w:rPr>
          <w:rFonts w:ascii="宋体" w:hAnsi="宋体" w:eastAsia="宋体" w:cs="宋体"/>
          <w:kern w:val="0"/>
          <w:sz w:val="36"/>
          <w:szCs w:val="36"/>
          <w:lang w:val="zh-TW" w:eastAsia="zh-TW"/>
        </w:rPr>
      </w:pPr>
    </w:p>
    <w:p w14:paraId="5AB331A2">
      <w:pPr>
        <w:ind w:left="210" w:right="540" w:firstLine="0"/>
        <w:jc w:val="center"/>
        <w:rPr>
          <w:rFonts w:hint="default" w:ascii="宋体" w:hAnsi="宋体" w:eastAsia="宋体" w:cs="宋体"/>
          <w:color w:val="000000"/>
          <w:sz w:val="44"/>
          <w:szCs w:val="44"/>
          <w:u w:color="000000"/>
          <w:lang w:val="en-US" w:eastAsia="zh-CN"/>
        </w:rPr>
      </w:pPr>
      <w:r>
        <w:rPr>
          <w:rFonts w:hint="eastAsia" w:ascii="宋体" w:hAnsi="宋体"/>
          <w:color w:val="000000"/>
          <w:sz w:val="44"/>
          <w:szCs w:val="44"/>
          <w:u w:color="000000"/>
          <w:rtl w:val="0"/>
          <w:lang w:val="en-US" w:eastAsia="zh-CN"/>
        </w:rPr>
        <w:t>浙里报账</w:t>
      </w:r>
    </w:p>
    <w:p w14:paraId="7A21829C">
      <w:pPr>
        <w:ind w:left="210" w:right="540" w:firstLine="0"/>
        <w:jc w:val="center"/>
        <w:rPr>
          <w:rFonts w:ascii="宋体" w:hAnsi="宋体" w:eastAsia="宋体" w:cs="宋体"/>
          <w:kern w:val="0"/>
          <w:sz w:val="44"/>
          <w:szCs w:val="44"/>
        </w:rPr>
      </w:pPr>
      <w:r>
        <w:rPr>
          <w:rFonts w:hint="eastAsia"/>
          <w:color w:val="000000"/>
          <w:sz w:val="44"/>
          <w:szCs w:val="44"/>
          <w:u w:color="000000"/>
          <w:rtl w:val="0"/>
          <w:lang w:val="en-US" w:eastAsia="zh-CN"/>
        </w:rPr>
        <w:t>合同管理</w:t>
      </w:r>
      <w:r>
        <w:rPr>
          <w:rFonts w:hint="eastAsia" w:eastAsia="宋体"/>
          <w:color w:val="000000"/>
          <w:sz w:val="44"/>
          <w:szCs w:val="44"/>
          <w:u w:color="000000"/>
          <w:rtl w:val="0"/>
          <w:lang w:val="zh-TW" w:eastAsia="zh-TW"/>
        </w:rPr>
        <w:t>产品</w:t>
      </w:r>
      <w:r>
        <w:rPr>
          <w:rFonts w:hint="eastAsia"/>
          <w:kern w:val="0"/>
          <w:sz w:val="44"/>
          <w:szCs w:val="44"/>
          <w:rtl w:val="0"/>
          <w:lang w:val="en-US" w:eastAsia="zh-CN"/>
        </w:rPr>
        <w:t>功能</w:t>
      </w:r>
      <w:r>
        <w:rPr>
          <w:rFonts w:hint="eastAsia" w:eastAsia="宋体"/>
          <w:kern w:val="0"/>
          <w:sz w:val="44"/>
          <w:szCs w:val="44"/>
          <w:rtl w:val="0"/>
          <w:lang w:val="zh-TW" w:eastAsia="zh-TW"/>
        </w:rPr>
        <w:t>说明书</w:t>
      </w:r>
    </w:p>
    <w:p w14:paraId="5A57561F">
      <w:pPr>
        <w:widowControl/>
        <w:spacing w:after="200"/>
        <w:ind w:right="26"/>
        <w:jc w:val="left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</w:p>
    <w:p w14:paraId="292E8871">
      <w:pPr>
        <w:widowControl/>
        <w:spacing w:after="200"/>
        <w:ind w:right="26"/>
        <w:jc w:val="center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版本号：</w:t>
      </w:r>
      <w:r>
        <w:rPr>
          <w:rFonts w:ascii="宋体" w:hAnsi="宋体"/>
          <w:kern w:val="0"/>
          <w:sz w:val="28"/>
          <w:szCs w:val="28"/>
          <w:rtl w:val="0"/>
          <w:lang w:val="en-US"/>
        </w:rPr>
        <w:t>1.</w:t>
      </w:r>
      <w:r>
        <w:rPr>
          <w:rFonts w:hint="eastAsia" w:ascii="宋体" w:hAnsi="宋体"/>
          <w:kern w:val="0"/>
          <w:sz w:val="28"/>
          <w:szCs w:val="28"/>
          <w:rtl w:val="0"/>
          <w:lang w:val="en-US" w:eastAsia="zh-CN"/>
        </w:rPr>
        <w:t>3</w:t>
      </w:r>
    </w:p>
    <w:p w14:paraId="526FB1BD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受控状态：受控</w:t>
      </w:r>
    </w:p>
    <w:p w14:paraId="514A2B0B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A6DFD66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  <w:u w:val="single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编写：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580334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审核：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346A68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批准：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51575F2A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786E9BF">
      <w:pPr>
        <w:widowControl/>
        <w:jc w:val="left"/>
      </w:pPr>
      <w:r>
        <w:rPr>
          <w:rFonts w:ascii="微软雅黑" w:hAnsi="微软雅黑" w:eastAsia="微软雅黑" w:cs="微软雅黑"/>
          <w:kern w:val="0"/>
          <w:sz w:val="28"/>
          <w:szCs w:val="28"/>
        </w:rPr>
        <w:br w:type="page"/>
      </w:r>
    </w:p>
    <w:p w14:paraId="726DBD67">
      <w:pPr>
        <w:jc w:val="center"/>
        <w:rPr>
          <w:rFonts w:ascii="微软雅黑" w:hAnsi="微软雅黑" w:eastAsia="微软雅黑" w:cs="微软雅黑"/>
          <w:color w:val="000000"/>
          <w:sz w:val="28"/>
          <w:szCs w:val="28"/>
          <w:u w:color="000000"/>
          <w:lang w:val="zh-TW" w:eastAsia="zh-TW"/>
        </w:rPr>
      </w:pPr>
      <w:r>
        <w:rPr>
          <w:rFonts w:ascii="微软雅黑" w:hAnsi="微软雅黑" w:eastAsia="微软雅黑" w:cs="微软雅黑"/>
          <w:color w:val="000000"/>
          <w:sz w:val="28"/>
          <w:szCs w:val="28"/>
          <w:u w:color="000000"/>
          <w:rtl w:val="0"/>
          <w:lang w:val="zh-TW" w:eastAsia="zh-TW"/>
        </w:rPr>
        <w:t>修订记录</w:t>
      </w:r>
    </w:p>
    <w:p w14:paraId="0248AA50">
      <w:pPr>
        <w:rPr>
          <w:rFonts w:ascii="微软雅黑" w:hAnsi="微软雅黑" w:eastAsia="微软雅黑" w:cs="微软雅黑"/>
          <w:color w:val="000000"/>
          <w:u w:color="000000"/>
        </w:rPr>
      </w:pP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类别：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A-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增加；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M-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修改；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D-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删除</w:t>
      </w:r>
    </w:p>
    <w:tbl>
      <w:tblPr>
        <w:tblStyle w:val="33"/>
        <w:tblW w:w="841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1"/>
        <w:gridCol w:w="1439"/>
        <w:gridCol w:w="1260"/>
        <w:gridCol w:w="2612"/>
        <w:gridCol w:w="1482"/>
      </w:tblGrid>
      <w:tr w14:paraId="0552C9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772E1">
            <w:pPr>
              <w:spacing w:line="240" w:lineRule="auto"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修订日期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E7E7">
            <w:pPr>
              <w:spacing w:line="240" w:lineRule="auto"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版本号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885E">
            <w:pPr>
              <w:spacing w:line="240" w:lineRule="auto"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修订类别</w:t>
            </w: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A9332">
            <w:pPr>
              <w:spacing w:line="240" w:lineRule="auto"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描述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493E1">
            <w:pPr>
              <w:spacing w:line="240" w:lineRule="auto"/>
              <w:jc w:val="left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修改人</w:t>
            </w:r>
          </w:p>
        </w:tc>
      </w:tr>
      <w:tr w14:paraId="58DB6F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94F3F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2026</w:t>
            </w:r>
            <w:r>
              <w:rPr>
                <w:rFonts w:hint="eastAsia" w:ascii="宋体" w:hAnsi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.02.06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A484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rtl w:val="0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1.0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9412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创建</w:t>
            </w: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CBE5C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rtl w:val="0"/>
                <w:lang w:val="en-US" w:eastAsia="zh-CN" w:bidi="ar-SA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D522F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银容</w:t>
            </w:r>
          </w:p>
        </w:tc>
      </w:tr>
      <w:tr w14:paraId="77D6B0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A3509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  <w:t>2026.06.11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A0C1">
            <w:pPr>
              <w:spacing w:line="240" w:lineRule="auto"/>
              <w:jc w:val="left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V1.1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B459">
            <w:pPr>
              <w:spacing w:line="240" w:lineRule="auto"/>
              <w:jc w:val="left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修改</w:t>
            </w: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93522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  <w:t>政采云合同支持在浙里报审批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E5EB0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  <w:t>银容</w:t>
            </w:r>
          </w:p>
        </w:tc>
      </w:tr>
      <w:tr w14:paraId="69EFED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53D2E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  <w:t>2026.06.30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081BF">
            <w:pPr>
              <w:spacing w:line="240" w:lineRule="auto"/>
              <w:jc w:val="left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V1.2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B2B75">
            <w:pPr>
              <w:spacing w:line="240" w:lineRule="auto"/>
              <w:jc w:val="left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增加</w:t>
            </w: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FFDEA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  <w:t>合同提醒和合同编码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D0EAAA">
            <w:pPr>
              <w:widowControl/>
              <w:spacing w:line="240" w:lineRule="auto"/>
              <w:jc w:val="left"/>
              <w:rPr>
                <w:rFonts w:hint="default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  <w:t>银容</w:t>
            </w:r>
          </w:p>
        </w:tc>
      </w:tr>
      <w:tr w14:paraId="6E598A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46F1">
            <w:pPr>
              <w:spacing w:line="240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2026.07.09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2ED2B">
            <w:pPr>
              <w:spacing w:line="240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V1.3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DA0A4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增加</w:t>
            </w: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7617F">
            <w:pPr>
              <w:spacing w:line="240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合同履约管理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1140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银容</w:t>
            </w:r>
          </w:p>
        </w:tc>
      </w:tr>
      <w:tr w14:paraId="7ABE28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77208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4A551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E4916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46D5">
            <w:pPr>
              <w:spacing w:line="240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5E47">
            <w:pPr>
              <w:spacing w:line="240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1BFE6B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4178D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84A8B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454D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1EA5">
            <w:pPr>
              <w:spacing w:line="240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414AE">
            <w:pPr>
              <w:spacing w:line="240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3F7BF9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7436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2596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3D86D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9A4D8">
            <w:pPr>
              <w:spacing w:line="240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2A27E">
            <w:pPr>
              <w:spacing w:line="240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4D7B1E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1694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4613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8AED6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C024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33CD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E51F9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DFECA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6226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76547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55C2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A7E8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1412D4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35A1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6CDC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309E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AA4F9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B8881">
            <w:pPr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008D317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30EC00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D7EC3B2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C52D0DE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6D9A0C1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66D1A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4EC0B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1A8BE7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BE486C9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42FF0D96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3281B638">
      <w:pPr>
        <w:spacing w:line="240" w:lineRule="auto"/>
        <w:jc w:val="both"/>
        <w:rPr>
          <w:rFonts w:ascii="微软雅黑" w:hAnsi="微软雅黑" w:eastAsia="微软雅黑" w:cs="微软雅黑"/>
          <w:color w:val="000000"/>
          <w:u w:color="000000"/>
        </w:rPr>
      </w:pPr>
    </w:p>
    <w:p w14:paraId="1AA1D4E7">
      <w:pPr>
        <w:spacing w:line="240" w:lineRule="auto"/>
        <w:jc w:val="center"/>
        <w:rPr>
          <w:lang w:val="zh-TW" w:eastAsia="zh-TW"/>
        </w:rPr>
      </w:pPr>
      <w:r>
        <w:rPr>
          <w:rFonts w:hint="eastAsia" w:eastAsia="宋体"/>
          <w:sz w:val="32"/>
          <w:szCs w:val="32"/>
          <w:rtl w:val="0"/>
          <w:lang w:val="zh-TW" w:eastAsia="zh-TW"/>
        </w:rPr>
        <w:t>目录</w:t>
      </w:r>
    </w:p>
    <w:p w14:paraId="378CA69D">
      <w:pPr>
        <w:pStyle w:val="28"/>
        <w:tabs>
          <w:tab w:val="right" w:leader="dot" w:pos="8446"/>
        </w:tabs>
      </w:pPr>
      <w:r>
        <w:fldChar w:fldCharType="begin"/>
      </w:r>
      <w:r>
        <w:instrText xml:space="preserve"> TOC \* MERGEFORMAT </w:instrText>
      </w:r>
      <w:r>
        <w:fldChar w:fldCharType="separate"/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1 概述</w:t>
      </w:r>
      <w:r>
        <w:tab/>
      </w:r>
      <w:r>
        <w:fldChar w:fldCharType="begin"/>
      </w:r>
      <w:r>
        <w:instrText xml:space="preserve"> PAGEREF _Toc10570 \h </w:instrText>
      </w:r>
      <w:r>
        <w:fldChar w:fldCharType="separate"/>
      </w:r>
      <w:r>
        <w:t>4</w:t>
      </w:r>
      <w:r>
        <w:fldChar w:fldCharType="end"/>
      </w:r>
    </w:p>
    <w:p w14:paraId="44BF320B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r>
        <w:tab/>
      </w:r>
      <w:r>
        <w:fldChar w:fldCharType="begin"/>
      </w:r>
      <w:r>
        <w:instrText xml:space="preserve"> PAGEREF _Toc12986 \h </w:instrText>
      </w:r>
      <w:r>
        <w:fldChar w:fldCharType="separate"/>
      </w:r>
      <w:r>
        <w:t>4</w:t>
      </w:r>
      <w:r>
        <w:fldChar w:fldCharType="end"/>
      </w:r>
    </w:p>
    <w:p w14:paraId="7C06E794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1.1.1 产品背景</w:t>
      </w:r>
      <w:r>
        <w:tab/>
      </w:r>
      <w:r>
        <w:fldChar w:fldCharType="begin"/>
      </w:r>
      <w:r>
        <w:instrText xml:space="preserve"> PAGEREF _Toc27890 \h </w:instrText>
      </w:r>
      <w:r>
        <w:fldChar w:fldCharType="separate"/>
      </w:r>
      <w:r>
        <w:t>4</w:t>
      </w:r>
      <w:r>
        <w:fldChar w:fldCharType="end"/>
      </w:r>
    </w:p>
    <w:p w14:paraId="49AC1445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1.1.2 产品目标</w:t>
      </w:r>
      <w:r>
        <w:tab/>
      </w:r>
      <w:r>
        <w:fldChar w:fldCharType="begin"/>
      </w:r>
      <w:r>
        <w:instrText xml:space="preserve"> PAGEREF _Toc23904 \h </w:instrText>
      </w:r>
      <w:r>
        <w:fldChar w:fldCharType="separate"/>
      </w:r>
      <w:r>
        <w:t>1</w:t>
      </w:r>
      <w:r>
        <w:fldChar w:fldCharType="end"/>
      </w:r>
    </w:p>
    <w:p w14:paraId="346FE504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2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概括</w:t>
      </w:r>
      <w:r>
        <w:tab/>
      </w:r>
      <w:r>
        <w:fldChar w:fldCharType="begin"/>
      </w:r>
      <w:r>
        <w:instrText xml:space="preserve"> PAGEREF _Toc1735 \h </w:instrText>
      </w:r>
      <w:r>
        <w:fldChar w:fldCharType="separate"/>
      </w:r>
      <w:r>
        <w:t>1</w:t>
      </w:r>
      <w:r>
        <w:fldChar w:fldCharType="end"/>
      </w:r>
    </w:p>
    <w:p w14:paraId="26C77A4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2.1 </w:t>
      </w:r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r>
        <w:tab/>
      </w:r>
      <w:r>
        <w:fldChar w:fldCharType="begin"/>
      </w:r>
      <w:r>
        <w:instrText xml:space="preserve"> PAGEREF _Toc21167 \h </w:instrText>
      </w:r>
      <w:r>
        <w:fldChar w:fldCharType="separate"/>
      </w:r>
      <w:r>
        <w:t>1</w:t>
      </w:r>
      <w:r>
        <w:fldChar w:fldCharType="end"/>
      </w:r>
    </w:p>
    <w:p w14:paraId="168A9F2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2.2 </w:t>
      </w:r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r>
        <w:tab/>
      </w:r>
      <w:r>
        <w:fldChar w:fldCharType="begin"/>
      </w:r>
      <w:r>
        <w:instrText xml:space="preserve"> PAGEREF _Toc11787 \h </w:instrText>
      </w:r>
      <w:r>
        <w:fldChar w:fldCharType="separate"/>
      </w:r>
      <w:r>
        <w:t>2</w:t>
      </w:r>
      <w:r>
        <w:fldChar w:fldCharType="end"/>
      </w:r>
    </w:p>
    <w:p w14:paraId="08424AD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2.3 </w:t>
      </w:r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r>
        <w:tab/>
      </w:r>
      <w:r>
        <w:fldChar w:fldCharType="begin"/>
      </w:r>
      <w:r>
        <w:instrText xml:space="preserve"> PAGEREF _Toc22638 \h </w:instrText>
      </w:r>
      <w:r>
        <w:fldChar w:fldCharType="separate"/>
      </w:r>
      <w:r>
        <w:t>2</w:t>
      </w:r>
      <w:r>
        <w:fldChar w:fldCharType="end"/>
      </w:r>
    </w:p>
    <w:p w14:paraId="546A03F5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2.4 </w:t>
      </w:r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r>
        <w:tab/>
      </w:r>
      <w:r>
        <w:fldChar w:fldCharType="begin"/>
      </w:r>
      <w:r>
        <w:instrText xml:space="preserve"> PAGEREF _Toc30414 \h </w:instrText>
      </w:r>
      <w:r>
        <w:fldChar w:fldCharType="separate"/>
      </w:r>
      <w:r>
        <w:t>2</w:t>
      </w:r>
      <w:r>
        <w:fldChar w:fldCharType="end"/>
      </w:r>
    </w:p>
    <w:p w14:paraId="4D0B6D9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2.5 </w:t>
      </w:r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r>
        <w:tab/>
      </w:r>
      <w:r>
        <w:fldChar w:fldCharType="begin"/>
      </w:r>
      <w:r>
        <w:instrText xml:space="preserve"> PAGEREF _Toc2631 \h </w:instrText>
      </w:r>
      <w:r>
        <w:fldChar w:fldCharType="separate"/>
      </w:r>
      <w:r>
        <w:t>2</w:t>
      </w:r>
      <w:r>
        <w:fldChar w:fldCharType="end"/>
      </w:r>
    </w:p>
    <w:p w14:paraId="18560FAA">
      <w:pPr>
        <w:pStyle w:val="28"/>
        <w:tabs>
          <w:tab w:val="right" w:leader="dot" w:pos="8446"/>
        </w:tabs>
      </w:pPr>
      <w:r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  <w:t xml:space="preserve">3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详细说明</w:t>
      </w:r>
      <w:r>
        <w:tab/>
      </w:r>
      <w:r>
        <w:fldChar w:fldCharType="begin"/>
      </w:r>
      <w:r>
        <w:instrText xml:space="preserve"> PAGEREF _Toc28292 \h </w:instrText>
      </w:r>
      <w:r>
        <w:fldChar w:fldCharType="separate"/>
      </w:r>
      <w:r>
        <w:t>5</w:t>
      </w:r>
      <w:r>
        <w:fldChar w:fldCharType="end"/>
      </w:r>
    </w:p>
    <w:p w14:paraId="497135E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3.1 相关功能介绍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5</w:t>
      </w:r>
      <w:r>
        <w:fldChar w:fldCharType="end"/>
      </w:r>
    </w:p>
    <w:p w14:paraId="409E132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3.2 合同管理列表</w:t>
      </w:r>
      <w:r>
        <w:tab/>
      </w:r>
      <w:r>
        <w:fldChar w:fldCharType="begin"/>
      </w:r>
      <w:r>
        <w:instrText xml:space="preserve"> PAGEREF _Toc20054 \h </w:instrText>
      </w:r>
      <w:r>
        <w:fldChar w:fldCharType="separate"/>
      </w:r>
      <w:r>
        <w:t>5</w:t>
      </w:r>
      <w:r>
        <w:fldChar w:fldCharType="end"/>
      </w:r>
    </w:p>
    <w:p w14:paraId="338DDC75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3.2.1 筛选栏和列表</w:t>
      </w:r>
      <w:r>
        <w:tab/>
      </w:r>
      <w:r>
        <w:fldChar w:fldCharType="begin"/>
      </w:r>
      <w:r>
        <w:instrText xml:space="preserve"> PAGEREF _Toc11685 \h </w:instrText>
      </w:r>
      <w:r>
        <w:fldChar w:fldCharType="separate"/>
      </w:r>
      <w:r>
        <w:t>5</w:t>
      </w:r>
      <w:r>
        <w:fldChar w:fldCharType="end"/>
      </w:r>
    </w:p>
    <w:p w14:paraId="4D8C17A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 新增合同</w:t>
      </w:r>
      <w:r>
        <w:tab/>
      </w:r>
      <w:r>
        <w:fldChar w:fldCharType="begin"/>
      </w:r>
      <w:r>
        <w:instrText xml:space="preserve"> PAGEREF _Toc30915 \h </w:instrText>
      </w:r>
      <w:r>
        <w:fldChar w:fldCharType="separate"/>
      </w:r>
      <w:r>
        <w:t>6</w:t>
      </w:r>
      <w:r>
        <w:fldChar w:fldCharType="end"/>
      </w:r>
    </w:p>
    <w:p w14:paraId="4A792BB8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3.2.2.1 新增合同与百搭配置</w:t>
      </w:r>
      <w:r>
        <w:tab/>
      </w:r>
      <w:r>
        <w:fldChar w:fldCharType="begin"/>
      </w:r>
      <w:r>
        <w:instrText xml:space="preserve"> PAGEREF _Toc5113 \h </w:instrText>
      </w:r>
      <w:r>
        <w:fldChar w:fldCharType="separate"/>
      </w:r>
      <w:r>
        <w:t>12</w:t>
      </w:r>
      <w:r>
        <w:fldChar w:fldCharType="end"/>
      </w:r>
    </w:p>
    <w:p w14:paraId="5243883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3.2.3 往期合同录入</w:t>
      </w:r>
      <w:r>
        <w:tab/>
      </w:r>
      <w:r>
        <w:fldChar w:fldCharType="begin"/>
      </w:r>
      <w:r>
        <w:instrText xml:space="preserve"> PAGEREF _Toc26004 \h </w:instrText>
      </w:r>
      <w:r>
        <w:fldChar w:fldCharType="separate"/>
      </w:r>
      <w:r>
        <w:t>12</w:t>
      </w:r>
      <w:r>
        <w:fldChar w:fldCharType="end"/>
      </w:r>
    </w:p>
    <w:p w14:paraId="3C5509D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3.2.4 合同审批审批配置</w:t>
      </w:r>
      <w:r>
        <w:tab/>
      </w:r>
      <w:r>
        <w:fldChar w:fldCharType="begin"/>
      </w:r>
      <w:r>
        <w:instrText xml:space="preserve"> PAGEREF _Toc31809 \h </w:instrText>
      </w:r>
      <w:r>
        <w:fldChar w:fldCharType="separate"/>
      </w:r>
      <w:r>
        <w:t>12</w:t>
      </w:r>
      <w:r>
        <w:fldChar w:fldCharType="end"/>
      </w:r>
    </w:p>
    <w:p w14:paraId="7CC401A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3.3 合同状态流转</w:t>
      </w:r>
      <w:r>
        <w:tab/>
      </w:r>
      <w:r>
        <w:fldChar w:fldCharType="begin"/>
      </w:r>
      <w:r>
        <w:instrText xml:space="preserve"> PAGEREF _Toc30257 \h </w:instrText>
      </w:r>
      <w:r>
        <w:fldChar w:fldCharType="separate"/>
      </w:r>
      <w:r>
        <w:t>14</w:t>
      </w:r>
      <w:r>
        <w:fldChar w:fldCharType="end"/>
      </w:r>
    </w:p>
    <w:p w14:paraId="250A0E0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3.3.1 合同审批</w:t>
      </w:r>
      <w:r>
        <w:tab/>
      </w:r>
      <w:r>
        <w:fldChar w:fldCharType="begin"/>
      </w:r>
      <w:r>
        <w:instrText xml:space="preserve"> PAGEREF _Toc27946 \h </w:instrText>
      </w:r>
      <w:r>
        <w:fldChar w:fldCharType="separate"/>
      </w:r>
      <w:r>
        <w:t>14</w:t>
      </w:r>
      <w:r>
        <w:fldChar w:fldCharType="end"/>
      </w:r>
    </w:p>
    <w:p w14:paraId="288001FE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3.3.2 合同用印</w:t>
      </w:r>
      <w:r>
        <w:tab/>
      </w:r>
      <w:r>
        <w:fldChar w:fldCharType="begin"/>
      </w:r>
      <w:r>
        <w:instrText xml:space="preserve"> PAGEREF _Toc15830 \h </w:instrText>
      </w:r>
      <w:r>
        <w:fldChar w:fldCharType="separate"/>
      </w:r>
      <w:r>
        <w:t>15</w:t>
      </w:r>
      <w:r>
        <w:fldChar w:fldCharType="end"/>
      </w:r>
    </w:p>
    <w:p w14:paraId="76AE02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3.3.3 合同完成</w:t>
      </w:r>
      <w:r>
        <w:tab/>
      </w:r>
      <w:r>
        <w:fldChar w:fldCharType="begin"/>
      </w:r>
      <w:r>
        <w:instrText xml:space="preserve"> PAGEREF _Toc16187 \h </w:instrText>
      </w:r>
      <w:r>
        <w:fldChar w:fldCharType="separate"/>
      </w:r>
      <w:r>
        <w:t>16</w:t>
      </w:r>
      <w:r>
        <w:fldChar w:fldCharType="end"/>
      </w:r>
    </w:p>
    <w:p w14:paraId="7A74A5F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3.3.4 合同变更</w:t>
      </w:r>
      <w:r>
        <w:tab/>
      </w:r>
      <w:r>
        <w:fldChar w:fldCharType="begin"/>
      </w:r>
      <w:r>
        <w:instrText xml:space="preserve"> PAGEREF _Toc25661 \h </w:instrText>
      </w:r>
      <w:r>
        <w:fldChar w:fldCharType="separate"/>
      </w:r>
      <w:r>
        <w:t>17</w:t>
      </w:r>
      <w:r>
        <w:fldChar w:fldCharType="end"/>
      </w:r>
    </w:p>
    <w:p w14:paraId="3AD7CB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3.3.5 合同作废</w:t>
      </w:r>
      <w:r>
        <w:tab/>
      </w:r>
      <w:r>
        <w:fldChar w:fldCharType="begin"/>
      </w:r>
      <w:r>
        <w:instrText xml:space="preserve"> PAGEREF _Toc12115 \h </w:instrText>
      </w:r>
      <w:r>
        <w:fldChar w:fldCharType="separate"/>
      </w:r>
      <w:r>
        <w:t>20</w:t>
      </w:r>
      <w:r>
        <w:fldChar w:fldCharType="end"/>
      </w:r>
    </w:p>
    <w:p w14:paraId="26BF49C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3.3.6 合同验收</w:t>
      </w:r>
      <w:r>
        <w:tab/>
      </w:r>
      <w:r>
        <w:fldChar w:fldCharType="begin"/>
      </w:r>
      <w:r>
        <w:instrText xml:space="preserve"> PAGEREF _Toc16047 \h </w:instrText>
      </w:r>
      <w:r>
        <w:fldChar w:fldCharType="separate"/>
      </w:r>
      <w:r>
        <w:t>20</w:t>
      </w:r>
      <w:r>
        <w:fldChar w:fldCharType="end"/>
      </w:r>
    </w:p>
    <w:p w14:paraId="70F6DF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3.4 合同履约相关</w:t>
      </w:r>
      <w:r>
        <w:tab/>
      </w:r>
      <w:r>
        <w:fldChar w:fldCharType="begin"/>
      </w:r>
      <w:r>
        <w:instrText xml:space="preserve"> PAGEREF _Toc8688 \h </w:instrText>
      </w:r>
      <w:r>
        <w:fldChar w:fldCharType="separate"/>
      </w:r>
      <w:r>
        <w:t>21</w:t>
      </w:r>
      <w:r>
        <w:fldChar w:fldCharType="end"/>
      </w:r>
    </w:p>
    <w:p w14:paraId="21B7794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3.4.1 收付款计划</w:t>
      </w:r>
      <w:r>
        <w:tab/>
      </w:r>
      <w:r>
        <w:fldChar w:fldCharType="begin"/>
      </w:r>
      <w:r>
        <w:instrText xml:space="preserve"> PAGEREF _Toc23203 \h </w:instrText>
      </w:r>
      <w:r>
        <w:fldChar w:fldCharType="separate"/>
      </w:r>
      <w:r>
        <w:t>21</w:t>
      </w:r>
      <w:r>
        <w:fldChar w:fldCharType="end"/>
      </w:r>
    </w:p>
    <w:p w14:paraId="2E27DDA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3.4.2 付款合同去报销（暂未支持）</w:t>
      </w:r>
      <w:r>
        <w:tab/>
      </w:r>
      <w:r>
        <w:fldChar w:fldCharType="begin"/>
      </w:r>
      <w:r>
        <w:instrText xml:space="preserve"> PAGEREF _Toc1492 \h </w:instrText>
      </w:r>
      <w:r>
        <w:fldChar w:fldCharType="separate"/>
      </w:r>
      <w:r>
        <w:t>22</w:t>
      </w:r>
      <w:r>
        <w:fldChar w:fldCharType="end"/>
      </w:r>
    </w:p>
    <w:p w14:paraId="6387317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3.4.3 报销单选择/新增合同</w:t>
      </w:r>
      <w:r>
        <w:tab/>
      </w:r>
      <w:r>
        <w:fldChar w:fldCharType="begin"/>
      </w:r>
      <w:r>
        <w:instrText xml:space="preserve"> PAGEREF _Toc20052 \h </w:instrText>
      </w:r>
      <w:r>
        <w:fldChar w:fldCharType="separate"/>
      </w:r>
      <w:r>
        <w:t>23</w:t>
      </w:r>
      <w:r>
        <w:fldChar w:fldCharType="end"/>
      </w:r>
    </w:p>
    <w:p w14:paraId="39012EC7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3.4.4 收款合同额关联回单（暂未支持）</w:t>
      </w:r>
      <w:r>
        <w:tab/>
      </w:r>
      <w:r>
        <w:fldChar w:fldCharType="begin"/>
      </w:r>
      <w:r>
        <w:instrText xml:space="preserve"> PAGEREF _Toc30924 \h </w:instrText>
      </w:r>
      <w:r>
        <w:fldChar w:fldCharType="separate"/>
      </w:r>
      <w:r>
        <w:t>24</w:t>
      </w:r>
      <w:r>
        <w:fldChar w:fldCharType="end"/>
      </w:r>
    </w:p>
    <w:p w14:paraId="49519CD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3.4.5 合同验收和验收执行记录</w:t>
      </w:r>
      <w:r>
        <w:tab/>
      </w:r>
      <w:r>
        <w:fldChar w:fldCharType="begin"/>
      </w:r>
      <w:r>
        <w:instrText xml:space="preserve"> PAGEREF _Toc1774 \h </w:instrText>
      </w:r>
      <w:r>
        <w:fldChar w:fldCharType="separate"/>
      </w:r>
      <w:r>
        <w:t>24</w:t>
      </w:r>
      <w:r>
        <w:fldChar w:fldCharType="end"/>
      </w:r>
    </w:p>
    <w:p w14:paraId="480F64A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3.5 纠纷管理</w:t>
      </w:r>
      <w:r>
        <w:tab/>
      </w:r>
      <w:r>
        <w:fldChar w:fldCharType="begin"/>
      </w:r>
      <w:r>
        <w:instrText xml:space="preserve"> PAGEREF _Toc10139 \h </w:instrText>
      </w:r>
      <w:r>
        <w:fldChar w:fldCharType="separate"/>
      </w:r>
      <w:r>
        <w:t>24</w:t>
      </w:r>
      <w:r>
        <w:fldChar w:fldCharType="end"/>
      </w:r>
    </w:p>
    <w:p w14:paraId="734D25BC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3.6 合同配置</w:t>
      </w:r>
      <w:r>
        <w:tab/>
      </w:r>
      <w:r>
        <w:fldChar w:fldCharType="begin"/>
      </w:r>
      <w:r>
        <w:instrText xml:space="preserve"> PAGEREF _Toc18758 \h </w:instrText>
      </w:r>
      <w:r>
        <w:fldChar w:fldCharType="separate"/>
      </w:r>
      <w:r>
        <w:t>27</w:t>
      </w:r>
      <w:r>
        <w:fldChar w:fldCharType="end"/>
      </w:r>
    </w:p>
    <w:p w14:paraId="415FBC6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3.6.1 合同类型</w:t>
      </w:r>
      <w:r>
        <w:tab/>
      </w:r>
      <w:r>
        <w:fldChar w:fldCharType="begin"/>
      </w:r>
      <w:r>
        <w:instrText xml:space="preserve"> PAGEREF _Toc27231 \h </w:instrText>
      </w:r>
      <w:r>
        <w:fldChar w:fldCharType="separate"/>
      </w:r>
      <w:r>
        <w:t>27</w:t>
      </w:r>
      <w:r>
        <w:fldChar w:fldCharType="end"/>
      </w:r>
    </w:p>
    <w:p w14:paraId="5D16C95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3.6.2 规则配置</w:t>
      </w:r>
      <w:r>
        <w:tab/>
      </w:r>
      <w:r>
        <w:fldChar w:fldCharType="begin"/>
      </w:r>
      <w:r>
        <w:instrText xml:space="preserve"> PAGEREF _Toc315 \h </w:instrText>
      </w:r>
      <w:r>
        <w:fldChar w:fldCharType="separate"/>
      </w:r>
      <w:r>
        <w:t>29</w:t>
      </w:r>
      <w:r>
        <w:fldChar w:fldCharType="end"/>
      </w:r>
    </w:p>
    <w:p w14:paraId="259E38D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3.7 上线准备</w:t>
      </w:r>
      <w:r>
        <w:tab/>
      </w:r>
      <w:r>
        <w:fldChar w:fldCharType="begin"/>
      </w:r>
      <w:r>
        <w:instrText xml:space="preserve"> PAGEREF _Toc26848 \h </w:instrText>
      </w:r>
      <w:r>
        <w:fldChar w:fldCharType="separate"/>
      </w:r>
      <w:r>
        <w:t>30</w:t>
      </w:r>
      <w:r>
        <w:fldChar w:fldCharType="end"/>
      </w:r>
    </w:p>
    <w:p w14:paraId="0DACB6B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 系统层面</w:t>
      </w:r>
      <w:r>
        <w:tab/>
      </w:r>
      <w:r>
        <w:fldChar w:fldCharType="begin"/>
      </w:r>
      <w:r>
        <w:instrText xml:space="preserve"> PAGEREF _Toc7473 \h </w:instrText>
      </w:r>
      <w:r>
        <w:fldChar w:fldCharType="separate"/>
      </w:r>
      <w:r>
        <w:t>30</w:t>
      </w:r>
      <w:r>
        <w:fldChar w:fldCharType="end"/>
      </w:r>
    </w:p>
    <w:p w14:paraId="0A975972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3.7.1.1 新老来源数据映射</w:t>
      </w:r>
      <w:r>
        <w:tab/>
      </w:r>
      <w:r>
        <w:fldChar w:fldCharType="begin"/>
      </w:r>
      <w:r>
        <w:instrText xml:space="preserve"> PAGEREF _Toc11954 \h </w:instrText>
      </w:r>
      <w:r>
        <w:fldChar w:fldCharType="separate"/>
      </w:r>
      <w:r>
        <w:t>31</w:t>
      </w:r>
      <w:r>
        <w:fldChar w:fldCharType="end"/>
      </w:r>
    </w:p>
    <w:p w14:paraId="748D4221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3.7.1.2 新老状态映射</w:t>
      </w:r>
      <w:r>
        <w:tab/>
      </w:r>
      <w:r>
        <w:fldChar w:fldCharType="begin"/>
      </w:r>
      <w:r>
        <w:instrText xml:space="preserve"> PAGEREF _Toc24129 \h </w:instrText>
      </w:r>
      <w:r>
        <w:fldChar w:fldCharType="separate"/>
      </w:r>
      <w:r>
        <w:t>31</w:t>
      </w:r>
      <w:r>
        <w:fldChar w:fldCharType="end"/>
      </w:r>
    </w:p>
    <w:p w14:paraId="4AE536E8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3.7.2 单位侧</w:t>
      </w:r>
      <w:r>
        <w:tab/>
      </w:r>
      <w:r>
        <w:fldChar w:fldCharType="begin"/>
      </w:r>
      <w:r>
        <w:instrText xml:space="preserve"> PAGEREF _Toc5394 \h </w:instrText>
      </w:r>
      <w:r>
        <w:fldChar w:fldCharType="separate"/>
      </w:r>
      <w:r>
        <w:t>32</w:t>
      </w:r>
      <w:r>
        <w:fldChar w:fldCharType="end"/>
      </w:r>
    </w:p>
    <w:p w14:paraId="4A886898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4 </w:t>
      </w:r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r>
        <w:tab/>
      </w:r>
      <w:r>
        <w:fldChar w:fldCharType="begin"/>
      </w:r>
      <w:r>
        <w:instrText xml:space="preserve"> PAGEREF _Toc2836 \h </w:instrText>
      </w:r>
      <w:r>
        <w:fldChar w:fldCharType="separate"/>
      </w:r>
      <w:r>
        <w:t>32</w:t>
      </w:r>
      <w:r>
        <w:fldChar w:fldCharType="end"/>
      </w:r>
    </w:p>
    <w:p w14:paraId="5A1750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4.1 性能需求</w:t>
      </w:r>
      <w:r>
        <w:tab/>
      </w:r>
      <w:r>
        <w:fldChar w:fldCharType="begin"/>
      </w:r>
      <w:r>
        <w:instrText xml:space="preserve"> PAGEREF _Toc22747 \h </w:instrText>
      </w:r>
      <w:r>
        <w:fldChar w:fldCharType="separate"/>
      </w:r>
      <w:r>
        <w:t>32</w:t>
      </w:r>
      <w:r>
        <w:fldChar w:fldCharType="end"/>
      </w:r>
    </w:p>
    <w:p w14:paraId="0BA85FF3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4.2 安全需求</w:t>
      </w:r>
      <w:r>
        <w:tab/>
      </w:r>
      <w:r>
        <w:fldChar w:fldCharType="begin"/>
      </w:r>
      <w:r>
        <w:instrText xml:space="preserve"> PAGEREF _Toc8846 \h </w:instrText>
      </w:r>
      <w:r>
        <w:fldChar w:fldCharType="separate"/>
      </w:r>
      <w:r>
        <w:t>32</w:t>
      </w:r>
      <w:r>
        <w:fldChar w:fldCharType="end"/>
      </w:r>
    </w:p>
    <w:p w14:paraId="36C40E4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4.3 兼容性需求</w:t>
      </w:r>
      <w:r>
        <w:tab/>
      </w:r>
      <w:r>
        <w:fldChar w:fldCharType="begin"/>
      </w:r>
      <w:r>
        <w:instrText xml:space="preserve"> PAGEREF _Toc9489 \h </w:instrText>
      </w:r>
      <w:r>
        <w:fldChar w:fldCharType="separate"/>
      </w:r>
      <w:r>
        <w:t>32</w:t>
      </w:r>
      <w:r>
        <w:fldChar w:fldCharType="end"/>
      </w:r>
    </w:p>
    <w:p w14:paraId="7657A39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4.4 相关文档需求</w:t>
      </w:r>
      <w:r>
        <w:tab/>
      </w:r>
      <w:r>
        <w:fldChar w:fldCharType="begin"/>
      </w:r>
      <w:r>
        <w:instrText xml:space="preserve"> PAGEREF _Toc21667 \h </w:instrText>
      </w:r>
      <w:r>
        <w:fldChar w:fldCharType="separate"/>
      </w:r>
      <w:r>
        <w:t>32</w:t>
      </w:r>
      <w:r>
        <w:fldChar w:fldCharType="end"/>
      </w:r>
    </w:p>
    <w:p w14:paraId="72BF7FA1">
      <w:pPr>
        <w:jc w:val="center"/>
      </w:pPr>
      <w:r>
        <w:fldChar w:fldCharType="end"/>
      </w:r>
    </w:p>
    <w:p w14:paraId="260C1854">
      <w:r>
        <w:br w:type="page"/>
      </w:r>
    </w:p>
    <w:p w14:paraId="3C49E893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  <w:b/>
          <w:bCs/>
          <w:rtl w:val="0"/>
          <w:lang w:val="zh-TW" w:eastAsia="zh-TW"/>
        </w:rPr>
      </w:pPr>
      <w:bookmarkStart w:id="0" w:name="_Toc10570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概述</w:t>
      </w:r>
      <w:bookmarkEnd w:id="0"/>
    </w:p>
    <w:p w14:paraId="6230810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</w:rPr>
        <w:sectPr>
          <w:headerReference r:id="rId8" w:type="first"/>
          <w:headerReference r:id="rId7" w:type="default"/>
          <w:footerReference r:id="rId9" w:type="default"/>
          <w:footerReference r:id="rId10" w:type="even"/>
          <w:pgSz w:w="11906" w:h="16838"/>
          <w:pgMar w:top="1571" w:right="1588" w:bottom="1440" w:left="1588" w:header="777" w:footer="896" w:gutter="284"/>
          <w:pgNumType w:start="0"/>
          <w:cols w:space="425" w:num="1"/>
          <w:titlePg/>
          <w:docGrid w:type="lines" w:linePitch="326" w:charSpace="0"/>
        </w:sectPr>
      </w:pPr>
      <w:bookmarkStart w:id="1" w:name="_Toc12986"/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bookmarkEnd w:id="1"/>
    </w:p>
    <w:p w14:paraId="1A03F77F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2" w:name="_Toc27890"/>
      <w:r>
        <w:rPr>
          <w:rFonts w:hint="eastAsia" w:ascii="宋体" w:hAnsi="宋体" w:eastAsia="宋体" w:cs="宋体"/>
          <w:rtl w:val="0"/>
          <w:lang w:val="zh-TW" w:eastAsia="zh-TW"/>
        </w:rPr>
        <w:t>产品背景</w:t>
      </w:r>
      <w:bookmarkEnd w:id="2"/>
    </w:p>
    <w:p w14:paraId="21F2E8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合同不仅是法律风险的载体，更是企业核心业务流程的“中枢神经”与“权威凭证”。</w:t>
      </w:r>
    </w:p>
    <w:p w14:paraId="2B7A5577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作为报销的法定依据：财务付款必须依据生效合同中约定的付款条件、金额与发票条款，合同是费用合规性的基石。</w:t>
      </w:r>
    </w:p>
    <w:p w14:paraId="1068B5C2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作为采购/销售活动的执行准绳：合同明确规定了标的、规格、交付、验收、售后等核心商业条款，是采购、供应链、销售团队开展工作的直接指令和验收标准。</w:t>
      </w:r>
    </w:p>
    <w:p w14:paraId="75E3F9DE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作为跨部门协作的权威共识：它将市场部的承诺、技术部的需求、法务部的风控、财务部的核算固化下来，是内部权责利划分的统一基准。</w:t>
      </w:r>
    </w:p>
    <w:p w14:paraId="25C1CCE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合同管理本期将实现纸质合同线上流程的闭环，完善纸质流程流转的多场景合规，提交跨团队协作能力。</w:t>
      </w:r>
    </w:p>
    <w:p w14:paraId="72050B0E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未来合同也将与档案、预算、采购等业务结合，实现多域互通。</w:t>
      </w:r>
    </w:p>
    <w:p w14:paraId="6C75D6F2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" w:name="_Toc23904"/>
      <w:r>
        <w:rPr>
          <w:rFonts w:hint="eastAsia" w:ascii="宋体" w:hAnsi="宋体" w:eastAsia="宋体" w:cs="宋体"/>
          <w:rtl w:val="0"/>
          <w:lang w:val="zh-TW" w:eastAsia="zh-TW"/>
        </w:rPr>
        <w:t>产品目标</w:t>
      </w:r>
      <w:bookmarkEnd w:id="3"/>
    </w:p>
    <w:p w14:paraId="697CE6E6">
      <w:pPr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en-US" w:eastAsia="zh-CN"/>
        </w:rPr>
        <w:t>合同管理，</w:t>
      </w:r>
      <w:r>
        <w:rPr>
          <w:rFonts w:hint="eastAsia"/>
          <w:rtl w:val="0"/>
          <w:lang w:val="zh-TW" w:eastAsia="zh-TW"/>
        </w:rPr>
        <w:t>旨在打造一个一体化、智能化、高合规的合同全生命周期管理平台，赋能企业实现合同管理的数字化、自动化与价值化转型。</w:t>
      </w:r>
    </w:p>
    <w:p w14:paraId="0D4E6BDF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bookmarkStart w:id="4" w:name="_Toc926588036"/>
      <w:r>
        <w:rPr>
          <w:rFonts w:hint="eastAsia"/>
          <w:rtl w:val="0"/>
          <w:lang w:val="en-US" w:eastAsia="zh-CN"/>
        </w:rPr>
        <w:t>合同管理支持新建、审批和完成合同</w:t>
      </w:r>
    </w:p>
    <w:p w14:paraId="29D2A95B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合同管理与报销串联</w:t>
      </w:r>
    </w:p>
    <w:p w14:paraId="065CAA78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合同管理数据与档案串联</w:t>
      </w:r>
    </w:p>
    <w:bookmarkEnd w:id="4"/>
    <w:p w14:paraId="5F7EF67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5" w:name="_Toc1735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概括</w:t>
      </w:r>
      <w:bookmarkEnd w:id="5"/>
    </w:p>
    <w:p w14:paraId="5CFA1C2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6" w:name="_Toc21167"/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bookmarkEnd w:id="6"/>
    </w:p>
    <w:p w14:paraId="5C18F5A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rtl w:val="0"/>
          <w:lang w:val="zh-TW" w:eastAsia="zh-TW"/>
        </w:rPr>
      </w:pPr>
      <w:r>
        <w:drawing>
          <wp:inline distT="0" distB="0" distL="114300" distR="114300">
            <wp:extent cx="5361305" cy="3013710"/>
            <wp:effectExtent l="0" t="0" r="3175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EAC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rtl w:val="0"/>
          <w:lang w:val="en-US" w:eastAsia="zh-CN"/>
        </w:rPr>
      </w:pPr>
    </w:p>
    <w:p w14:paraId="54F98E7B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7" w:name="_Toc11787"/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bookmarkEnd w:id="7"/>
    </w:p>
    <w:p w14:paraId="31A9F991">
      <w:r>
        <w:drawing>
          <wp:inline distT="0" distB="0" distL="114300" distR="114300">
            <wp:extent cx="5352415" cy="302450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FB45">
      <w:pPr>
        <w:rPr>
          <w:rFonts w:hint="default"/>
          <w:rtl w:val="0"/>
          <w:lang w:val="en-US" w:eastAsia="zh-CN"/>
        </w:rPr>
      </w:pPr>
    </w:p>
    <w:p w14:paraId="479C2755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8" w:name="_Toc22638"/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bookmarkEnd w:id="8"/>
    </w:p>
    <w:p w14:paraId="4D607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zh-TW" w:eastAsia="zh-CN"/>
        </w:rPr>
        <w:t>（</w:t>
      </w:r>
      <w:r>
        <w:rPr>
          <w:rFonts w:hint="eastAsia"/>
          <w:rtl w:val="0"/>
          <w:lang w:val="en-US" w:eastAsia="zh-CN"/>
        </w:rPr>
        <w:t>菜单和角色和权限）</w:t>
      </w:r>
    </w:p>
    <w:p w14:paraId="58EBE17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本期暂无配置上线功能权限</w:t>
      </w:r>
    </w:p>
    <w:p w14:paraId="654AA367">
      <w:pPr>
        <w:rPr>
          <w:rFonts w:hint="default"/>
          <w:rtl w:val="0"/>
          <w:lang w:val="en-US" w:eastAsia="zh-CN"/>
        </w:rPr>
      </w:pPr>
    </w:p>
    <w:p w14:paraId="39E55C1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9" w:name="_Toc30414"/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bookmarkEnd w:id="9"/>
    </w:p>
    <w:p w14:paraId="678234A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rtl w:val="0"/>
          <w:lang w:val="en-US" w:eastAsia="zh-CN"/>
        </w:rPr>
        <w:t>无</w:t>
      </w:r>
    </w:p>
    <w:p w14:paraId="4E6C8B2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10" w:name="_Toc2631"/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bookmarkEnd w:id="10"/>
    </w:p>
    <w:p w14:paraId="6649B4B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</w:p>
    <w:p w14:paraId="6C0F9CAD">
      <w:pPr>
        <w:pStyle w:val="3"/>
        <w:bidi w:val="0"/>
        <w:ind w:left="576" w:leftChars="0" w:hanging="576" w:firstLineChars="0"/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</w:pPr>
      <w:bookmarkStart w:id="11" w:name="_Toc28292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详细说明</w:t>
      </w:r>
      <w:bookmarkEnd w:id="11"/>
    </w:p>
    <w:p w14:paraId="134289E7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2" w:name="_Toc26241"/>
      <w:r>
        <w:rPr>
          <w:rFonts w:hint="eastAsia" w:ascii="宋体" w:hAnsi="宋体" w:eastAsia="宋体" w:cs="宋体"/>
          <w:rtl w:val="0"/>
          <w:lang w:val="en-US" w:eastAsia="zh-CN"/>
        </w:rPr>
        <w:t>相关功能介绍</w:t>
      </w:r>
      <w:bookmarkEnd w:id="12"/>
    </w:p>
    <w:p w14:paraId="2CABE83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r>
        <w:rPr>
          <w:rFonts w:hint="eastAsia" w:ascii="宋体" w:hAnsi="宋体" w:eastAsia="宋体" w:cs="宋体"/>
          <w:rtl w:val="0"/>
          <w:lang w:val="en-US" w:eastAsia="zh-CN"/>
        </w:rPr>
        <w:t>中标通知书</w:t>
      </w:r>
    </w:p>
    <w:p w14:paraId="365FC49A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支持同步政采云的中标通知书，基于中标通知书创建合同，并增加政采云和浙里报的合同内审流转</w:t>
      </w:r>
    </w:p>
    <w:p w14:paraId="58420CF0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入口：合同管理-&gt;中标通知书</w:t>
      </w:r>
    </w:p>
    <w:p w14:paraId="6AA50A2A">
      <w:pPr>
        <w:numPr>
          <w:ilvl w:val="0"/>
          <w:numId w:val="4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若有单位针对中标项目不要与政采云进行内控管理，可不开启该菜单</w:t>
      </w:r>
    </w:p>
    <w:p w14:paraId="0130A8E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筛选栏和列表</w:t>
      </w:r>
    </w:p>
    <w:p w14:paraId="2097AE25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筛选栏：</w:t>
      </w:r>
    </w:p>
    <w:p w14:paraId="7F926D5C"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项目编号：支持精确搜索</w:t>
      </w:r>
    </w:p>
    <w:p w14:paraId="4B0EA9F2"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项目名称：支持模糊搜索</w:t>
      </w:r>
    </w:p>
    <w:p w14:paraId="5A0D2FDB">
      <w:pPr>
        <w:numPr>
          <w:ilvl w:val="0"/>
          <w:numId w:val="5"/>
        </w:numPr>
        <w:ind w:left="420" w:leftChars="0" w:hanging="42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供应商名称：支持模糊搜索</w:t>
      </w:r>
    </w:p>
    <w:p w14:paraId="00F89CEB">
      <w:pPr>
        <w:numPr>
          <w:ilvl w:val="0"/>
          <w:numId w:val="0"/>
        </w:numPr>
        <w:ind w:leftChars="0"/>
        <w:rPr>
          <w:rFonts w:hint="eastAsia" w:ascii="宋体" w:hAnsi="宋体" w:cs="宋体"/>
          <w:rtl w:val="0"/>
          <w:lang w:val="en-US" w:eastAsia="zh-CN"/>
        </w:rPr>
      </w:pPr>
    </w:p>
    <w:p w14:paraId="68A880DF">
      <w:pPr>
        <w:numPr>
          <w:ilvl w:val="0"/>
          <w:numId w:val="0"/>
        </w:numPr>
        <w:ind w:left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列表：</w:t>
      </w:r>
    </w:p>
    <w:p w14:paraId="2B086C38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区分单位中标通知书和统采分签项目</w:t>
      </w:r>
    </w:p>
    <w:p w14:paraId="574F5250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项目编号</w:t>
      </w:r>
    </w:p>
    <w:p w14:paraId="076EB78D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项目名称</w:t>
      </w:r>
    </w:p>
    <w:p w14:paraId="385E22A8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采购方式</w:t>
      </w:r>
    </w:p>
    <w:p w14:paraId="7A444C22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项目金额（元）</w:t>
      </w:r>
      <w:r>
        <w:rPr>
          <w:rFonts w:hint="default" w:ascii="宋体" w:hAnsi="宋体" w:cs="宋体"/>
          <w:rtl w:val="0"/>
          <w:lang w:eastAsia="zh-CN"/>
        </w:rPr>
        <w:t>：不是合同合，合同金额</w:t>
      </w:r>
    </w:p>
    <w:p w14:paraId="3523228F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供应商名称</w:t>
      </w:r>
    </w:p>
    <w:p w14:paraId="3051278F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关联合同：显示合同编号和合同金额</w:t>
      </w:r>
    </w:p>
    <w:p w14:paraId="33BE84E4"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操作：创建合同</w:t>
      </w:r>
    </w:p>
    <w:p w14:paraId="2DA1ED2E">
      <w:r>
        <w:drawing>
          <wp:inline distT="0" distB="0" distL="114300" distR="114300">
            <wp:extent cx="5361940" cy="2029460"/>
            <wp:effectExtent l="0" t="0" r="2540" b="12700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8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点击创建合同：</w:t>
      </w:r>
    </w:p>
    <w:p w14:paraId="1DA6C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自动带入中标通知书中浙里报合同相关内容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090"/>
        <w:gridCol w:w="1791"/>
        <w:gridCol w:w="4050"/>
      </w:tblGrid>
      <w:tr w14:paraId="0A36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0928D0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90" w:type="dxa"/>
          </w:tcPr>
          <w:p w14:paraId="58AB45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政采云</w:t>
            </w:r>
          </w:p>
        </w:tc>
        <w:tc>
          <w:tcPr>
            <w:tcW w:w="1791" w:type="dxa"/>
          </w:tcPr>
          <w:p w14:paraId="2804E8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浙里报</w:t>
            </w:r>
          </w:p>
        </w:tc>
        <w:tc>
          <w:tcPr>
            <w:tcW w:w="4050" w:type="dxa"/>
          </w:tcPr>
          <w:p w14:paraId="647977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回传政采云说明</w:t>
            </w:r>
          </w:p>
        </w:tc>
      </w:tr>
      <w:tr w14:paraId="4E3C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5C0E07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采购单位</w:t>
            </w:r>
          </w:p>
        </w:tc>
        <w:tc>
          <w:tcPr>
            <w:tcW w:w="1090" w:type="dxa"/>
          </w:tcPr>
          <w:p w14:paraId="330214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00033A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050" w:type="dxa"/>
          </w:tcPr>
          <w:p w14:paraId="222D36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采购预算编码</w:t>
            </w:r>
          </w:p>
        </w:tc>
      </w:tr>
      <w:tr w14:paraId="1226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67931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合同文件</w:t>
            </w:r>
          </w:p>
        </w:tc>
        <w:tc>
          <w:tcPr>
            <w:tcW w:w="1090" w:type="dxa"/>
          </w:tcPr>
          <w:p w14:paraId="75348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</w:t>
            </w:r>
          </w:p>
        </w:tc>
        <w:tc>
          <w:tcPr>
            <w:tcW w:w="1791" w:type="dxa"/>
          </w:tcPr>
          <w:p w14:paraId="38479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手动上传</w:t>
            </w:r>
          </w:p>
        </w:tc>
        <w:tc>
          <w:tcPr>
            <w:tcW w:w="4050" w:type="dxa"/>
          </w:tcPr>
          <w:p w14:paraId="66712B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只支持PDF格式</w:t>
            </w:r>
          </w:p>
        </w:tc>
      </w:tr>
      <w:tr w14:paraId="49B8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075A8A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1090" w:type="dxa"/>
          </w:tcPr>
          <w:p w14:paraId="1AAF33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00DBDE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√支持编辑</w:t>
            </w:r>
          </w:p>
        </w:tc>
        <w:tc>
          <w:tcPr>
            <w:tcW w:w="4050" w:type="dxa"/>
          </w:tcPr>
          <w:p w14:paraId="02A51E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B10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239918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1090" w:type="dxa"/>
          </w:tcPr>
          <w:p w14:paraId="055ECB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791" w:type="dxa"/>
          </w:tcPr>
          <w:p w14:paraId="3C00C2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自定义编辑</w:t>
            </w:r>
          </w:p>
        </w:tc>
        <w:tc>
          <w:tcPr>
            <w:tcW w:w="4050" w:type="dxa"/>
          </w:tcPr>
          <w:p w14:paraId="12021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接口暂无该字段</w:t>
            </w:r>
          </w:p>
        </w:tc>
      </w:tr>
      <w:tr w14:paraId="519C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520B64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合同性质</w:t>
            </w:r>
          </w:p>
        </w:tc>
        <w:tc>
          <w:tcPr>
            <w:tcW w:w="1090" w:type="dxa"/>
          </w:tcPr>
          <w:p w14:paraId="29B4C6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791" w:type="dxa"/>
          </w:tcPr>
          <w:p w14:paraId="03EEBC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付款 支持编辑</w:t>
            </w:r>
          </w:p>
        </w:tc>
        <w:tc>
          <w:tcPr>
            <w:tcW w:w="4050" w:type="dxa"/>
          </w:tcPr>
          <w:p w14:paraId="37ADD52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6A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3E8F53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项目预算金额</w:t>
            </w:r>
          </w:p>
        </w:tc>
        <w:tc>
          <w:tcPr>
            <w:tcW w:w="1090" w:type="dxa"/>
          </w:tcPr>
          <w:p w14:paraId="355315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20445F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4050" w:type="dxa"/>
          </w:tcPr>
          <w:p w14:paraId="14C8A6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回传带入</w:t>
            </w:r>
          </w:p>
        </w:tc>
      </w:tr>
      <w:tr w14:paraId="039B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02AEB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合同金额</w:t>
            </w:r>
          </w:p>
        </w:tc>
        <w:tc>
          <w:tcPr>
            <w:tcW w:w="1090" w:type="dxa"/>
          </w:tcPr>
          <w:p w14:paraId="6381F2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668725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允许编辑</w:t>
            </w:r>
          </w:p>
        </w:tc>
        <w:tc>
          <w:tcPr>
            <w:tcW w:w="4050" w:type="dxa"/>
          </w:tcPr>
          <w:p w14:paraId="747040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回传带入，需增加限制编辑</w:t>
            </w:r>
          </w:p>
        </w:tc>
      </w:tr>
      <w:tr w14:paraId="2B09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281361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合同类型</w:t>
            </w:r>
          </w:p>
        </w:tc>
        <w:tc>
          <w:tcPr>
            <w:tcW w:w="1090" w:type="dxa"/>
          </w:tcPr>
          <w:p w14:paraId="38447B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791" w:type="dxa"/>
          </w:tcPr>
          <w:p w14:paraId="388D31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手动编辑</w:t>
            </w:r>
          </w:p>
        </w:tc>
        <w:tc>
          <w:tcPr>
            <w:tcW w:w="4050" w:type="dxa"/>
          </w:tcPr>
          <w:p w14:paraId="7BF276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7D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38DEAB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090" w:type="dxa"/>
          </w:tcPr>
          <w:p w14:paraId="4E59E9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731D04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√不允许编辑</w:t>
            </w:r>
          </w:p>
        </w:tc>
        <w:tc>
          <w:tcPr>
            <w:tcW w:w="4050" w:type="dxa"/>
          </w:tcPr>
          <w:p w14:paraId="11730D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将政采云供应商ID回传</w:t>
            </w:r>
          </w:p>
        </w:tc>
      </w:tr>
      <w:tr w14:paraId="6769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5A095A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标的信息</w:t>
            </w:r>
          </w:p>
        </w:tc>
        <w:tc>
          <w:tcPr>
            <w:tcW w:w="1090" w:type="dxa"/>
          </w:tcPr>
          <w:p w14:paraId="4C84F8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75779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4050" w:type="dxa"/>
          </w:tcPr>
          <w:p w14:paraId="291EB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回传带入</w:t>
            </w:r>
          </w:p>
        </w:tc>
      </w:tr>
      <w:tr w14:paraId="702B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3EE4E6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项目信息</w:t>
            </w:r>
          </w:p>
        </w:tc>
        <w:tc>
          <w:tcPr>
            <w:tcW w:w="1090" w:type="dxa"/>
          </w:tcPr>
          <w:p w14:paraId="39BF81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609DD0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4050" w:type="dxa"/>
          </w:tcPr>
          <w:p w14:paraId="7C9E28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回传带入</w:t>
            </w:r>
          </w:p>
        </w:tc>
      </w:tr>
      <w:tr w14:paraId="00DE0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42CC0D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付款计划</w:t>
            </w:r>
          </w:p>
        </w:tc>
        <w:tc>
          <w:tcPr>
            <w:tcW w:w="1090" w:type="dxa"/>
          </w:tcPr>
          <w:p w14:paraId="4C70A0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791" w:type="dxa"/>
          </w:tcPr>
          <w:p w14:paraId="018627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手动编辑</w:t>
            </w:r>
          </w:p>
        </w:tc>
        <w:tc>
          <w:tcPr>
            <w:tcW w:w="4050" w:type="dxa"/>
          </w:tcPr>
          <w:p w14:paraId="23B0DE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回传带入</w:t>
            </w:r>
          </w:p>
        </w:tc>
      </w:tr>
      <w:tr w14:paraId="5634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6813D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收款账户</w:t>
            </w:r>
          </w:p>
        </w:tc>
        <w:tc>
          <w:tcPr>
            <w:tcW w:w="1090" w:type="dxa"/>
          </w:tcPr>
          <w:p w14:paraId="7EC081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791" w:type="dxa"/>
          </w:tcPr>
          <w:p w14:paraId="2EFB26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手动编辑</w:t>
            </w:r>
          </w:p>
        </w:tc>
        <w:tc>
          <w:tcPr>
            <w:tcW w:w="4050" w:type="dxa"/>
          </w:tcPr>
          <w:p w14:paraId="7CC27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开户银行+账号回传</w:t>
            </w:r>
          </w:p>
        </w:tc>
      </w:tr>
      <w:tr w14:paraId="2603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40DB7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支付方式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（1=一次性付款，2=分期付款）</w:t>
            </w:r>
          </w:p>
        </w:tc>
        <w:tc>
          <w:tcPr>
            <w:tcW w:w="1090" w:type="dxa"/>
          </w:tcPr>
          <w:p w14:paraId="2F789B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91" w:type="dxa"/>
          </w:tcPr>
          <w:p w14:paraId="50C77A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√允许编辑计划，影响支付方式透传</w:t>
            </w:r>
          </w:p>
        </w:tc>
        <w:tc>
          <w:tcPr>
            <w:tcW w:w="4050" w:type="dxa"/>
          </w:tcPr>
          <w:p w14:paraId="344732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73CB6B3">
      <w:pPr>
        <w:rPr>
          <w:rFonts w:hint="default"/>
          <w:lang w:val="en-US" w:eastAsia="zh-CN"/>
        </w:rPr>
      </w:pPr>
    </w:p>
    <w:p w14:paraId="11B367F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政采云相关操作</w:t>
      </w:r>
    </w:p>
    <w:p w14:paraId="64BB2080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需要政采云合同经过浙里报内控流程，需要在政采云开启白名单，后续需要开启时联系</w:t>
      </w:r>
    </w:p>
    <w:p w14:paraId="1A25F2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58130" cy="2425065"/>
            <wp:effectExtent l="0" t="0" r="6350" b="13335"/>
            <wp:docPr id="54" name="图片 54" descr="468846e2252065bfd846758e98ca9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468846e2252065bfd846758e98ca9e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65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浙里报完成的合同推送至政采云时：</w:t>
      </w:r>
    </w:p>
    <w:p w14:paraId="71A17D1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合同状态=待起草，业务类型=新项目采购，基于此合同完善备案内容后可推采购内网</w:t>
      </w:r>
    </w:p>
    <w:p w14:paraId="5C304E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360670" cy="2045970"/>
            <wp:effectExtent l="0" t="0" r="3810" b="11430"/>
            <wp:docPr id="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E55B">
      <w:pPr>
        <w:rPr>
          <w:rFonts w:hint="eastAsia"/>
          <w:lang w:val="en-US" w:eastAsia="zh-CN"/>
        </w:rPr>
      </w:pPr>
    </w:p>
    <w:p w14:paraId="3082A7D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3" w:name="_Toc20054"/>
      <w:r>
        <w:rPr>
          <w:rFonts w:hint="eastAsia" w:ascii="宋体" w:hAnsi="宋体" w:eastAsia="宋体" w:cs="宋体"/>
          <w:rtl w:val="0"/>
          <w:lang w:val="en-US" w:eastAsia="zh-CN"/>
        </w:rPr>
        <w:t>合同管理列表</w:t>
      </w:r>
      <w:bookmarkEnd w:id="13"/>
    </w:p>
    <w:p w14:paraId="37F2B07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所有合同性质的合同都统一规整在合同列表中，目前存在2个菜单，合同管理和单位合同管理，两个菜单内容仅数据权限差异，后期仅保留一个即可，通过合同的数据权限进行配置</w:t>
      </w:r>
    </w:p>
    <w:p w14:paraId="45F0475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入口：</w:t>
      </w:r>
    </w:p>
    <w:p w14:paraId="30790B0A">
      <w:pPr>
        <w:numPr>
          <w:ilvl w:val="0"/>
          <w:numId w:val="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合同管理-&gt;合同管理</w:t>
      </w:r>
    </w:p>
    <w:p w14:paraId="402B7AA7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合同管理-&gt;单位合同管理</w:t>
      </w:r>
    </w:p>
    <w:p w14:paraId="6286520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4" w:name="_Toc11685"/>
      <w:r>
        <w:rPr>
          <w:rFonts w:hint="eastAsia"/>
          <w:rtl w:val="0"/>
          <w:lang w:val="en-US" w:eastAsia="zh-CN"/>
        </w:rPr>
        <w:t>筛选栏和列表</w:t>
      </w:r>
      <w:bookmarkEnd w:id="14"/>
    </w:p>
    <w:p w14:paraId="797B6FC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6C5820FB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合同编号：默认空，支持模糊搜索</w:t>
      </w:r>
    </w:p>
    <w:p w14:paraId="6440E3B4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合同名称：默认空，支持模糊搜索</w:t>
      </w:r>
    </w:p>
    <w:p w14:paraId="472C42FC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合同来源：默认空，支持选择合同中心、政采云、乐采云、徽采云、支出管理、数字签约平台的数据</w:t>
      </w:r>
    </w:p>
    <w:p w14:paraId="40A9F342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合同类型：默认空，多级筛选方式</w:t>
      </w:r>
    </w:p>
    <w:p w14:paraId="6C06A1CC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合同性质：默认空，支持选择收款、付款和无</w:t>
      </w:r>
    </w:p>
    <w:p w14:paraId="0D9D5DEF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合同状态：默认空，支持选择对应合同状态，具体状态说明在合同状态中详细开展</w:t>
      </w:r>
    </w:p>
    <w:p w14:paraId="791D2CA6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签署方名称：支持所有签署方名称模糊搜索</w:t>
      </w:r>
    </w:p>
    <w:p w14:paraId="55E68F59">
      <w:pPr>
        <w:rPr>
          <w:rFonts w:hint="eastAsia"/>
          <w:rtl w:val="0"/>
          <w:lang w:val="en-US" w:eastAsia="zh-CN"/>
        </w:rPr>
      </w:pPr>
    </w:p>
    <w:p w14:paraId="6BEF976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合同列表：</w:t>
      </w:r>
    </w:p>
    <w:p w14:paraId="1DBB4353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</w:t>
      </w:r>
    </w:p>
    <w:p w14:paraId="12FFD895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参与方：显示所有签署方名称，用“，”链接</w:t>
      </w:r>
    </w:p>
    <w:p w14:paraId="1D8926AF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</w:t>
      </w:r>
    </w:p>
    <w:p w14:paraId="7D4A8C81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</w:t>
      </w:r>
    </w:p>
    <w:p w14:paraId="183E0BAE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合同金额</w:t>
      </w:r>
    </w:p>
    <w:p w14:paraId="0F87D0D5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</w:t>
      </w:r>
    </w:p>
    <w:p w14:paraId="15F0C33C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创建时间：</w:t>
      </w:r>
    </w:p>
    <w:p w14:paraId="57654856">
      <w:pPr>
        <w:numPr>
          <w:ilvl w:val="0"/>
          <w:numId w:val="9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</w:t>
      </w:r>
    </w:p>
    <w:p w14:paraId="32ABD4CD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操作：详情、其他按钮根据状态来</w:t>
      </w:r>
    </w:p>
    <w:p w14:paraId="60B02564">
      <w:pPr>
        <w:widowControl/>
        <w:jc w:val="left"/>
        <w:rPr>
          <w:rFonts w:hint="default" w:ascii="微软雅黑" w:hAnsi="微软雅黑" w:eastAsia="微软雅黑" w:cs="宋体"/>
          <w:kern w:val="0"/>
          <w:szCs w:val="21"/>
          <w:lang w:val="en-US" w:eastAsia="zh-CN"/>
        </w:rPr>
      </w:pPr>
    </w:p>
    <w:p w14:paraId="2EC3422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5" w:name="_Toc30915"/>
      <w:r>
        <w:rPr>
          <w:rFonts w:hint="eastAsia"/>
          <w:rtl w:val="0"/>
          <w:lang w:val="en-US" w:eastAsia="zh-CN"/>
        </w:rPr>
        <w:t>新增合同</w:t>
      </w:r>
      <w:bookmarkEnd w:id="15"/>
      <w:r>
        <w:rPr>
          <w:rFonts w:hint="eastAsia"/>
          <w:rtl w:val="0"/>
          <w:lang w:val="en-US" w:eastAsia="zh-CN"/>
        </w:rPr>
        <w:t>（0709改）</w:t>
      </w:r>
    </w:p>
    <w:p w14:paraId="5F9EA80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功能权限：合同管理-&gt;合同列表-&gt;合同新增</w:t>
      </w:r>
    </w:p>
    <w:p w14:paraId="4B7574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有功能权限的用户可见【新增合同】按钮</w:t>
      </w:r>
    </w:p>
    <w:p w14:paraId="06875A4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第一步：上传文件</w:t>
      </w:r>
    </w:p>
    <w:p w14:paraId="45FC3AC9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文件：必填，仅支持上传1个，文件大小需＜20M，支持的格式有doc、docx、pdf、pdf、zip、rar、7z格式，其中若非预览的文件，则在查看文件时会提醒用户”不可预览，请下载查阅“；上传后的文件支持预览、删除、重新添加</w:t>
      </w:r>
    </w:p>
    <w:p w14:paraId="35B8269B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附件：非必填，非必填，允许上传20个，每个文件大小＜20M，支持文件格式同合同文件；上传后的文件支持预览、删除、重新添加。超过20个文件，则上传按钮隐藏或是点击上传提示“最多上传20个附件”</w:t>
      </w:r>
    </w:p>
    <w:p w14:paraId="35571572">
      <w:r>
        <w:drawing>
          <wp:inline distT="0" distB="0" distL="114300" distR="114300">
            <wp:extent cx="5359400" cy="28130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合同范本库：</w:t>
      </w:r>
    </w:p>
    <w:p w14:paraId="195C5E0F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单位内人员可见所有合同范本内容</w:t>
      </w:r>
    </w:p>
    <w:p w14:paraId="519FDF61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按照范本创建时间&amp;使用次数正序排列，即使用越多的在最前面</w:t>
      </w:r>
    </w:p>
    <w:p w14:paraId="56DF7154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合同名称：展示22位，超过后鼠标hover显示全部，合同名称点击后支持预览，预览使用的能力是研发中心的预览，因此需要新开页面预览内容</w:t>
      </w:r>
    </w:p>
    <w:p w14:paraId="52BA5FE2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创建人：即文件上传用户名称</w:t>
      </w:r>
    </w:p>
    <w:p w14:paraId="24F0CCDC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更新时间：年月日时分秒展示，首次新增范本的创建时间=更新时间，更新操作后，更新时间将会更新</w:t>
      </w:r>
    </w:p>
    <w:p w14:paraId="29CDC5AC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使用次数：按照下载次数累计</w:t>
      </w:r>
    </w:p>
    <w:p w14:paraId="6C79AAD4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操作：下载、更新、删除</w:t>
      </w:r>
    </w:p>
    <w:p w14:paraId="776701DC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——下载：按照文件上传的格式下载，文件名称=合同名称，下载无功能权限，默认所有用户都可下载</w:t>
      </w:r>
    </w:p>
    <w:p w14:paraId="609D1464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——更新：更新效果同新增，但是需要在原来范本ID上覆盖合同文件，保持使用次数不清空</w:t>
      </w:r>
    </w:p>
    <w:p w14:paraId="4C18591A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——删除：有删除的功能权限才能删除，删除时二次提示，确认后删除数据</w:t>
      </w:r>
    </w:p>
    <w:p w14:paraId="5DBC6E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60670" cy="2592070"/>
            <wp:effectExtent l="0" t="0" r="3810" b="139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第二步：设置签署信息</w:t>
      </w:r>
    </w:p>
    <w:p w14:paraId="6063415C">
      <w:pPr>
        <w:numPr>
          <w:ilvl w:val="0"/>
          <w:numId w:val="11"/>
        </w:num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合同信息：使用百搭搭建，支持按客户增加自定义字段</w:t>
      </w:r>
    </w:p>
    <w:p w14:paraId="159174FB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合同名称：必填，取上传的文件名称，支持二次编辑，不支持空格输入，上限80（附件的名称也为80，超过截断展示）</w:t>
      </w:r>
    </w:p>
    <w:p w14:paraId="06A487D8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合同编号：必填，支持用户手动输入，若设置了编号规则，则限制输入，上限36（合同编号规则查看具体说明），单位下唯一</w:t>
      </w:r>
    </w:p>
    <w:p w14:paraId="59C8967A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合同类型：必填，默认合同类型表的第一个子集（默认=通用合同），取最新的合同类型表，仅支持选择末级且只选择1个</w:t>
      </w:r>
    </w:p>
    <w:p w14:paraId="07B96815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——合同类型支持自定义设置，可前往“合同管理-&gt;合同配置”自定义设置</w:t>
      </w:r>
    </w:p>
    <w:p w14:paraId="0C1D9153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合同性质：必填，默认无，支持选择合同性质为无、收款或是付款，若为付款合同，则可支持从合同提交报销单，若为收款合同，则支持未来与银行回单关联，若无，则为非收支类合同，此类合同不涉及履约</w:t>
      </w:r>
    </w:p>
    <w:p w14:paraId="1B189266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合同金额类型：合同性质≠“无”时非必填，收</w:t>
      </w:r>
      <w:r>
        <w:rPr>
          <w:rFonts w:hint="eastAsia"/>
          <w:rtl w:val="0"/>
          <w:lang w:val="en-US" w:eastAsia="zh-CN"/>
        </w:rPr>
        <w:t>款或是</w:t>
      </w:r>
      <w:r>
        <w:rPr>
          <w:rFonts w:hint="default"/>
          <w:rtl w:val="0"/>
          <w:lang w:val="en-US" w:eastAsia="zh-CN"/>
        </w:rPr>
        <w:t>付款性质时必填</w:t>
      </w:r>
      <w:r>
        <w:rPr>
          <w:rFonts w:hint="eastAsia"/>
          <w:rtl w:val="0"/>
          <w:lang w:val="en-US" w:eastAsia="zh-CN"/>
        </w:rPr>
        <w:t>合同金额类型</w:t>
      </w:r>
      <w:r>
        <w:rPr>
          <w:rFonts w:hint="default"/>
          <w:rtl w:val="0"/>
          <w:lang w:val="en-US" w:eastAsia="zh-CN"/>
        </w:rPr>
        <w:t>，默认固定，选项为固定和非固定，若合同金额类型为非固定，则合同金额不可输入；若为固定则合同金额必填</w:t>
      </w:r>
    </w:p>
    <w:p w14:paraId="0AA76571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合同金额：固定合同金额类型下合同金额必填，数字个数保留2位小数；非固定合同金额下合同金额为</w:t>
      </w:r>
      <w:commentRangeStart w:id="0"/>
      <w:r>
        <w:rPr>
          <w:rFonts w:hint="default"/>
          <w:rtl w:val="0"/>
          <w:lang w:val="en-US" w:eastAsia="zh-CN"/>
        </w:rPr>
        <w:t>空限制输入</w:t>
      </w:r>
      <w:commentRangeEnd w:id="0"/>
      <w:r>
        <w:commentReference w:id="0"/>
      </w:r>
    </w:p>
    <w:p w14:paraId="0E0E7F9D">
      <w:pPr>
        <w:numPr>
          <w:ilvl w:val="0"/>
          <w:numId w:val="12"/>
        </w:numPr>
        <w:ind w:left="420" w:leftChars="0" w:hanging="420" w:firstLineChars="0"/>
        <w:rPr>
          <w:rFonts w:hint="default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已履约金额：非必填，合同完成后可在对应的付款计划或是收款计划管理中查看记录，并做剩余可履约金额扣减，比如合同金额100，已履约金额20，则剩余可履约80元</w:t>
      </w:r>
    </w:p>
    <w:p w14:paraId="493CA437">
      <w:pPr>
        <w:numPr>
          <w:ilvl w:val="0"/>
          <w:numId w:val="0"/>
        </w:numPr>
        <w:ind w:leftChars="0"/>
        <w:rPr>
          <w:rFonts w:hint="default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——有合同金额时，已履约金额≤合同金额，没有合同金额时，不限制与履约金额</w:t>
      </w:r>
    </w:p>
    <w:p w14:paraId="38EABB18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生效日期：非必填，选择当前系统及以后的时间【1900-2099】，格式为yyyy-mm-dd，以用户填写为准，未来支持电子签，未填写该字段，将会用合同生效日期置入</w:t>
      </w:r>
    </w:p>
    <w:p w14:paraId="19F2F772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到期日期：非必填，时间选择当前系统及以后的时间【1900-2099】，格式为yyyy-mm-dd，若为最大系统可输入时间，列表展示时正常显示</w:t>
      </w:r>
    </w:p>
    <w:p w14:paraId="45897B41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归属部门：非必填，默认为当前用户的在用户管理的“所属部门”的第一个，下拉选择其他部门，支持选择多个部门（多部门上限10个），</w:t>
      </w:r>
    </w:p>
    <w:p w14:paraId="4E18DB7B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——归属部门用于后期做数据权限查看使用，本期预留字段</w:t>
      </w:r>
    </w:p>
    <w:p w14:paraId="5783FB79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合同内容：非必填，最多支持300个字</w:t>
      </w:r>
    </w:p>
    <w:p w14:paraId="241A8F05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备注：非必填，支持中文、英文、特殊符号，长度100</w:t>
      </w:r>
    </w:p>
    <w:p w14:paraId="3512E5EE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是否有履约保证金：非必填，传入“是”或是“否”</w:t>
      </w:r>
    </w:p>
    <w:p w14:paraId="525BB1B3">
      <w:pPr>
        <w:numPr>
          <w:ilvl w:val="0"/>
          <w:numId w:val="12"/>
        </w:numPr>
        <w:ind w:left="420" w:leftChars="0" w:hanging="420" w:firstLineChars="0"/>
        <w:rPr>
          <w:rFonts w:hint="default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保证金方向：是否有履约保证金额=是，则保证金方向字段显示，根据合同性质，若付款性质合同则保证金方向默认=先付后收，可调整为先收后付</w:t>
      </w:r>
      <w:r>
        <w:commentReference w:id="1"/>
      </w:r>
      <w:r>
        <w:rPr>
          <w:rFonts w:hint="eastAsia"/>
          <w:color w:val="0000FF"/>
          <w:rtl w:val="0"/>
          <w:lang w:val="en-US" w:eastAsia="zh-CN"/>
        </w:rPr>
        <w:t>。保证金的方向，将影响后期计划执行中的履约保证金的处理</w:t>
      </w:r>
    </w:p>
    <w:p w14:paraId="488FD9FF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是否有资产管理条例：非必填，传入“是”或是“否”</w:t>
      </w:r>
    </w:p>
    <w:p w14:paraId="78F0A2FB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标的物：非必填，自定义输入</w:t>
      </w:r>
    </w:p>
    <w:p w14:paraId="6C4E8CFA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所属项目：非必填，自定义输入；若是中标通知书，会自动带入对应的项目名称编号</w:t>
      </w:r>
    </w:p>
    <w:p w14:paraId="70A8D792">
      <w:pPr>
        <w:numPr>
          <w:ilvl w:val="0"/>
          <w:numId w:val="12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自定义字段：在百搭中搭建，支持新增自定义字段，用于数据收集，比如“标的物”</w:t>
      </w:r>
    </w:p>
    <w:p w14:paraId="16BC5C55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——以上使用百搭实现</w:t>
      </w:r>
    </w:p>
    <w:p w14:paraId="2BF91DBD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4320" cy="2858770"/>
            <wp:effectExtent l="0" t="0" r="10160" b="6350"/>
            <wp:docPr id="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92BD">
      <w:pPr>
        <w:numPr>
          <w:ilvl w:val="0"/>
          <w:numId w:val="11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收付款计划：非必填，可在创建时置入，也可以在合同完成后手动创建收付款计划</w:t>
      </w:r>
    </w:p>
    <w:p w14:paraId="3A332A4B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合同性质=无，则不显示该模块</w:t>
      </w:r>
    </w:p>
    <w:p w14:paraId="42D164EE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合同性质=付款，则模块名称为“付款计划”</w:t>
      </w:r>
    </w:p>
    <w:p w14:paraId="7D70CA3F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合同性质=收款，则模块名称为“收款计划”</w:t>
      </w:r>
    </w:p>
    <w:p w14:paraId="4E4311DE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——收/付款计划名称：必填，支持中文、英文、特殊符号等输入，长度80，超过后限制输入</w:t>
      </w:r>
    </w:p>
    <w:p w14:paraId="0A0939FE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——收/付款金额：必填，仅支持数字，0.01`999999999999.99</w:t>
      </w:r>
    </w:p>
    <w:p w14:paraId="72A2A049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——结算比例：非必填，仅支持数字，输入内容后自动带%，格式问题直接下方提示；结算比例与计划金额联动，若未填写，可自动计算赋值=计划金额/合同金额，若合同无固定金额，则不做自动赋值</w:t>
      </w:r>
    </w:p>
    <w:p w14:paraId="7B54C6DC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——收/付款日期：非必填，默认选中当天，时间格式，可选择当前系统日期和以后的时间【当日，2099】</w:t>
      </w:r>
    </w:p>
    <w:p w14:paraId="2A5D3219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——备注：非必填，支持中文、英文、特殊符号等输入，长度100，超过后限制输入</w:t>
      </w:r>
    </w:p>
    <w:p w14:paraId="2156357C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225" cy="2561590"/>
            <wp:effectExtent l="0" t="0" r="8255" b="13970"/>
            <wp:docPr id="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0FC3">
      <w:pPr>
        <w:numPr>
          <w:ilvl w:val="0"/>
          <w:numId w:val="11"/>
        </w:num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签署方信息：非必填</w:t>
      </w:r>
    </w:p>
    <w:p w14:paraId="63D9D365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默认置入当前组织（组织）：当前单位名称+税号+当前登录用户名称+手机号，允许编辑所有字段，允许删除当前签署方</w:t>
      </w:r>
    </w:p>
    <w:p w14:paraId="4FFC055B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——变相支持：代集团公司组织录入合同，注意创建人和合同归属部门的关系</w:t>
      </w:r>
    </w:p>
    <w:p w14:paraId="0C009BB4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①添加个人签署方：默认呈现2个字段（*联系人名称+联系人手机号）</w:t>
      </w:r>
    </w:p>
    <w:p w14:paraId="76C38D5B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——联系人名称：必填，上限19</w:t>
      </w:r>
    </w:p>
    <w:p w14:paraId="2AAAD540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——联系人手机号：非必填，上限11，不填写时，无法发送通知，未来电子签名时该字段必填</w:t>
      </w:r>
    </w:p>
    <w:p w14:paraId="58858DEA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②添加组织签署方：默认呈现4个字段（*组织名称+税号+联系人+手机号）</w:t>
      </w:r>
    </w:p>
    <w:p w14:paraId="77F7FAA3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——签署方组织名称：必填，组织名称上限校验50</w:t>
      </w:r>
    </w:p>
    <w:p w14:paraId="78769156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——签署方统一社会信用代码：非必填，仅数字和字母，上限20，税号合规性校验（10、15-20位）</w:t>
      </w:r>
    </w:p>
    <w:p w14:paraId="3EF90806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——联系人名称：非必填，上限19，第一个默认组织时，取登录人的姓名</w:t>
      </w:r>
    </w:p>
    <w:p w14:paraId="7D863C7C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——联系人手机号：非必填，手机号码校验，纯数字，上限11，第一个默认组织时，取登录人的登录手机号</w:t>
      </w:r>
    </w:p>
    <w:p w14:paraId="055796FA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③签署人标签：用于后期数据统计，区分合同对象是供应商还是客户，以及对应供应商和客户的合同签署数据</w:t>
      </w:r>
      <w:r>
        <w:commentReference w:id="2"/>
      </w:r>
    </w:p>
    <w:p w14:paraId="169F1C95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填入的发起方企业的标签为“无”，当合同性质为“无”时，新增企业或是的标签默认都为“无”；当合同性质为“付款”时，新增企业或是个人的标签默认为“供应商”；当合同性质为“收款”时，新增企业或个人的标签默认为“客户”</w:t>
      </w:r>
    </w:p>
    <w:p w14:paraId="28905141">
      <w:pPr>
        <w:numPr>
          <w:ilvl w:val="0"/>
          <w:numId w:val="1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合同性质变换不影响已增加的企业签署方标签，支持用户手动切换为其他标签</w:t>
      </w:r>
    </w:p>
    <w:p w14:paraId="611D3A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60035" cy="121412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E56C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3143250" cy="1524000"/>
            <wp:effectExtent l="0" t="0" r="1143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B8C6">
      <w:pPr>
        <w:numPr>
          <w:ilvl w:val="0"/>
          <w:numId w:val="11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收付款账户信息：非必填</w:t>
      </w:r>
    </w:p>
    <w:p w14:paraId="0F33BCE9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297D0EC1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  <w:r>
        <w:commentReference w:id="3"/>
      </w:r>
    </w:p>
    <w:p w14:paraId="3453BFD3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6B9E3A1F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556A1F3A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714F2E62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0ACEA314">
      <w:pPr>
        <w:numPr>
          <w:ilvl w:val="0"/>
          <w:numId w:val="1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7F1F7B14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225" cy="220472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B261">
      <w:pPr>
        <w:numPr>
          <w:ilvl w:val="0"/>
          <w:numId w:val="11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0F9EB89B">
      <w:pPr>
        <w:numPr>
          <w:ilvl w:val="0"/>
          <w:numId w:val="11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</w:p>
    <w:p w14:paraId="0E162B3C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22278B5E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6BA871B9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0F7D94B6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0BA8DB7F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0F513A1C">
      <w:pPr>
        <w:rPr>
          <w:rFonts w:hint="default"/>
          <w:rtl w:val="0"/>
          <w:lang w:val="en-US" w:eastAsia="zh-CN"/>
        </w:rPr>
      </w:pPr>
    </w:p>
    <w:p w14:paraId="504FA791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16" w:name="_Toc5113"/>
      <w:r>
        <w:rPr>
          <w:rFonts w:hint="eastAsia"/>
          <w:rtl w:val="0"/>
          <w:lang w:val="en-US" w:eastAsia="zh-CN"/>
        </w:rPr>
        <w:t>新增合同与百搭配置</w:t>
      </w:r>
      <w:bookmarkEnd w:id="16"/>
    </w:p>
    <w:p w14:paraId="1368ADC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运营机构-&gt;实施工具-&gt;单位管理-&gt;表单和流程</w:t>
      </w:r>
    </w:p>
    <w:p w14:paraId="681A99B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配置：目前需要从已配置的单位中复用，后期支付系统层面模板配置和使用</w:t>
      </w:r>
    </w:p>
    <w:p w14:paraId="7B1CFCEE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新增合同编号与配置</w:t>
      </w:r>
    </w:p>
    <w:p w14:paraId="5876372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合同管理-&gt;合同配置的，合同编码规则</w:t>
      </w:r>
    </w:p>
    <w:p w14:paraId="16780759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将影响合同编号是否可编辑</w:t>
      </w:r>
    </w:p>
    <w:p w14:paraId="2B0544BC">
      <w:pPr>
        <w:rPr>
          <w:rFonts w:hint="default"/>
          <w:rtl w:val="0"/>
          <w:lang w:val="en-US" w:eastAsia="zh-CN"/>
        </w:rPr>
      </w:pPr>
    </w:p>
    <w:p w14:paraId="7F37126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7" w:name="_Toc26004"/>
      <w:r>
        <w:rPr>
          <w:rFonts w:hint="eastAsia"/>
          <w:rtl w:val="0"/>
          <w:lang w:val="en-US" w:eastAsia="zh-CN"/>
        </w:rPr>
        <w:t>往期合同录入</w:t>
      </w:r>
      <w:bookmarkEnd w:id="17"/>
    </w:p>
    <w:p w14:paraId="23A8E86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往期合同是历史已完成的合同需要录入到系统中，一旦录入成功，合同状态即已完成状态</w:t>
      </w:r>
    </w:p>
    <w:p w14:paraId="4869825A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功能权限：合同管理-&gt;合同列表-&gt;往期合同录入</w:t>
      </w:r>
    </w:p>
    <w:p w14:paraId="64F5CEA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有功能权限的用户可见【往期合同录入】按钮</w:t>
      </w:r>
    </w:p>
    <w:p w14:paraId="1D2C3B3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页面同新增合同，在此不赘述，同样支持字段的自定义设置，无审批流，合同状态将从草稿→已完成</w:t>
      </w:r>
    </w:p>
    <w:p w14:paraId="1FB3E52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政采云合同导入0611新增</w:t>
      </w:r>
    </w:p>
    <w:p w14:paraId="6480A4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安徽直接连接徽采，自动同步数据，因此无该功能</w:t>
      </w:r>
    </w:p>
    <w:p w14:paraId="6AD08B9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浙江可将政采云或是乐采云合同获取到浙里报：获取政采云合同有两个入口，一个是在合同管理导入合同，一个是在报销时选择政采云合同。在报销时选择的政采云合同或是合同库合同，仅允许选择已完成状态合同，在合同库的合同管理中导入合同，允许同步草稿态合同，并流合同审批、用印等流程流转，本期仅浙里报完成内部流转，不回推给政采云，6月底版本支持</w:t>
      </w:r>
    </w:p>
    <w:p w14:paraId="4E4D27B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入口：合同管理-&gt;合同管理-&gt;导入合同操作</w:t>
      </w:r>
    </w:p>
    <w:p w14:paraId="409FB9A5">
      <w:r>
        <w:drawing>
          <wp:inline distT="0" distB="0" distL="114300" distR="114300">
            <wp:extent cx="5357495" cy="1200785"/>
            <wp:effectExtent l="0" t="0" r="6985" b="317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D6B5">
      <w:r>
        <w:drawing>
          <wp:inline distT="0" distB="0" distL="114300" distR="114300">
            <wp:extent cx="5358130" cy="3000375"/>
            <wp:effectExtent l="0" t="0" r="6350" b="190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A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从政采云账户中获取所有合同信息：</w:t>
      </w:r>
    </w:p>
    <w:p w14:paraId="076773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政采云合同导入的筛选栏：</w:t>
      </w:r>
    </w:p>
    <w:p w14:paraId="65B9B94D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合同编号：默认空，支持精确搜索</w:t>
      </w:r>
    </w:p>
    <w:p w14:paraId="38529A14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合同名称：默认空，支持模糊搜索</w:t>
      </w:r>
    </w:p>
    <w:p w14:paraId="12D88653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状态：默认空，全部状态数据，支持下拉选择政采云的合同状态</w:t>
      </w:r>
    </w:p>
    <w:p w14:paraId="4DAD0803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起止时间：默认空</w:t>
      </w:r>
    </w:p>
    <w:p w14:paraId="6CAD51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政采云合同导入的列表：</w:t>
      </w:r>
    </w:p>
    <w:p w14:paraId="30F35ADC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</w:p>
    <w:p w14:paraId="323634B7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合同名称：显示 业务类型+合同名称+合同总额（元）</w:t>
      </w:r>
    </w:p>
    <w:p w14:paraId="4D663591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项目信息：显示系项目名称+项目金额（元）+采购单位+供应商名称</w:t>
      </w:r>
    </w:p>
    <w:p w14:paraId="45953EDC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创建时间：年月日时分秒</w:t>
      </w:r>
    </w:p>
    <w:p w14:paraId="71ED7297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创建人：用户名称，两边用户未打通，仅显示名称</w:t>
      </w:r>
    </w:p>
    <w:p w14:paraId="001F1ABB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状态：显示政采云合同状态</w:t>
      </w:r>
    </w:p>
    <w:p w14:paraId="03BA8945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操作：查看</w:t>
      </w:r>
    </w:p>
    <w:p w14:paraId="5EFA92E4">
      <w:r>
        <w:drawing>
          <wp:inline distT="0" distB="0" distL="114300" distR="114300">
            <wp:extent cx="5360035" cy="2861945"/>
            <wp:effectExtent l="0" t="0" r="4445" b="317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22E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政采云合同状态：所有合同状态数据，都允许二次落库，会进行状态先后判断。</w:t>
      </w:r>
    </w:p>
    <w:p w14:paraId="45AC74A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比如政采云合同是草稿，浙里报同步合同后，进行了合同审批或是用印，则合同状态将从草稿→提交中→用印中，若用印中，发现政采云同步的合同存在问题，需要更新，则会校验两边的状态，政采云的草稿状态＜浙里报的用印中状态，不允许同步，浙里报需将用印拒绝，操作回退，浙里报合同状态从签署中→已回退，才允许同步政采云草稿数据</w:t>
      </w:r>
    </w:p>
    <w:p w14:paraId="168E1921">
      <w:pPr>
        <w:rPr>
          <w:rFonts w:hint="default"/>
          <w:rtl w:val="0"/>
          <w:lang w:val="en-US" w:eastAsia="zh-CN"/>
        </w:rPr>
      </w:pPr>
    </w:p>
    <w:p w14:paraId="075717EB">
      <w:pPr>
        <w:rPr>
          <w:rFonts w:hint="default"/>
          <w:rtl w:val="0"/>
          <w:lang w:val="en-US" w:eastAsia="zh-CN"/>
        </w:rPr>
      </w:pPr>
    </w:p>
    <w:p w14:paraId="4AF9847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8" w:name="_Toc31809"/>
      <w:r>
        <w:rPr>
          <w:rFonts w:hint="eastAsia"/>
          <w:rtl w:val="0"/>
          <w:lang w:val="en-US" w:eastAsia="zh-CN"/>
        </w:rPr>
        <w:t>合同操作和状态</w:t>
      </w:r>
      <w:bookmarkEnd w:id="18"/>
    </w:p>
    <w:tbl>
      <w:tblPr>
        <w:tblStyle w:val="33"/>
        <w:tblW w:w="9040" w:type="dxa"/>
        <w:tblInd w:w="-1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1103"/>
        <w:gridCol w:w="2560"/>
        <w:gridCol w:w="2227"/>
        <w:gridCol w:w="1853"/>
      </w:tblGrid>
      <w:tr w14:paraId="04AD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14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操作流程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C6A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合同状态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D15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合同列表的操作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6D8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合同详情的操作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725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合同详情的收付款计划tab操作</w:t>
            </w:r>
          </w:p>
        </w:tc>
      </w:tr>
      <w:tr w14:paraId="01C54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0AD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合同起草未提交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1EF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未提交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B7A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【详情】【编辑合同】【删除合同】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4F5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【下载】【编辑】【提交合同】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D48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007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86D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合同提交审批中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34D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提交中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615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ED7F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800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65C8C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D9E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合同审批驳回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A68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未提交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EDF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4A4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6D2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262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5CB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合同审批通过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972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EA3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D1A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459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0427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A27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用印提交审批中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131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C5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38D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13B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7758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AE7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用印审批驳回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E86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54F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448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7E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7530F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B9A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用印审批通过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CA6A5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D26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已签署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D35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【详情】【完成合同】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CF9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【下载】【完成合同】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19B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ED18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BD5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合同操作完成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DB8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150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652F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45CF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3EAC0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FB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合同变更审批中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B91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变更中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C1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76E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165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075BB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FB5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合同变更拒绝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BDF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977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0E8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5D1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1D94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788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合同变更通过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21CB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CE6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451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4B3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417A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321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合同验收审批中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E8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验收中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D23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EE2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C5F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58859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AF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合同验收拒绝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0B3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6A2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64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FB2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7A0A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7E7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合同验收通过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BC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已完结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98B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36B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5D8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【验收记录】</w:t>
            </w:r>
          </w:p>
        </w:tc>
      </w:tr>
      <w:tr w14:paraId="7AFC3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2A5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已过合同到期日期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47F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不变（标记：已过期）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8C65D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BA952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1251C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C02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9ED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合同作废审批中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5DB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作废中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292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9BB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2BB3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7ECCF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492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合同作废拒绝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CF7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6B1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577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ABD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04DB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8BB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合同作废通过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542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已作废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A8E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218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235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</w:tbl>
    <w:p w14:paraId="096141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2506C24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9" w:name="_Toc30257"/>
      <w:r>
        <w:rPr>
          <w:rFonts w:hint="eastAsia" w:ascii="宋体" w:hAnsi="宋体" w:eastAsia="宋体" w:cs="宋体"/>
          <w:rtl w:val="0"/>
          <w:lang w:val="en-US" w:eastAsia="zh-CN"/>
        </w:rPr>
        <w:t>合同状态流转</w:t>
      </w:r>
      <w:bookmarkEnd w:id="19"/>
    </w:p>
    <w:p w14:paraId="3E1FDFBB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8765" cy="400558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28CF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6225" cy="4387215"/>
            <wp:effectExtent l="0" t="0" r="8255" b="1905"/>
            <wp:docPr id="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48DD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0" w:name="_Toc27946"/>
      <w:r>
        <w:rPr>
          <w:rFonts w:hint="eastAsia"/>
          <w:rtl w:val="0"/>
          <w:lang w:val="en-US" w:eastAsia="zh-CN"/>
        </w:rPr>
        <w:t>合同审批</w:t>
      </w:r>
      <w:bookmarkEnd w:id="20"/>
    </w:p>
    <w:p w14:paraId="7A50323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若合同审批开关打开，则新增合同后，点击【提交合同】弹窗完善信息后合同审批流程，合同将从草稿→提交中</w:t>
      </w:r>
    </w:p>
    <w:p w14:paraId="06E14167">
      <w:r>
        <w:drawing>
          <wp:inline distT="0" distB="0" distL="114300" distR="114300">
            <wp:extent cx="5356860" cy="2577465"/>
            <wp:effectExtent l="0" t="0" r="7620" b="13335"/>
            <wp:docPr id="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5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2288F68F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审批通过：合同状态将从提交中→签署中</w:t>
      </w:r>
    </w:p>
    <w:p w14:paraId="6FF8CB1C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审批拒绝：合同状态将从提交中→草稿，即未提交</w:t>
      </w:r>
    </w:p>
    <w:p w14:paraId="3A272C3A">
      <w:r>
        <w:drawing>
          <wp:inline distT="0" distB="0" distL="114300" distR="114300">
            <wp:extent cx="5355590" cy="1238885"/>
            <wp:effectExtent l="0" t="0" r="8890" b="1079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565E">
      <w:pPr>
        <w:rPr>
          <w:rFonts w:hint="default"/>
          <w:rtl w:val="0"/>
          <w:lang w:val="en-US" w:eastAsia="zh-CN"/>
        </w:rPr>
      </w:pPr>
    </w:p>
    <w:p w14:paraId="0C59419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1" w:name="_Toc15830"/>
      <w:r>
        <w:rPr>
          <w:rFonts w:hint="eastAsia"/>
          <w:rtl w:val="0"/>
          <w:lang w:val="en-US" w:eastAsia="zh-CN"/>
        </w:rPr>
        <w:t>合同用印</w:t>
      </w:r>
      <w:bookmarkEnd w:id="21"/>
    </w:p>
    <w:p w14:paraId="1235CFD8">
      <w:r>
        <w:drawing>
          <wp:inline distT="0" distB="0" distL="114300" distR="114300">
            <wp:extent cx="5360670" cy="2574290"/>
            <wp:effectExtent l="0" t="0" r="3810" b="127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5E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若合同用印审批开关打开，则在签署中的合同详情下方有【用印申请】按钮</w:t>
      </w:r>
    </w:p>
    <w:p w14:paraId="5B8C79E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点击【用印申请】完善信息后，走用印审批流</w:t>
      </w:r>
    </w:p>
    <w:p w14:paraId="10683F25">
      <w:pPr>
        <w:rPr>
          <w:rFonts w:hint="eastAsia"/>
          <w:lang w:val="en-US" w:eastAsia="zh-CN"/>
        </w:rPr>
      </w:pPr>
    </w:p>
    <w:p w14:paraId="7DB1D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45F44254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提交用印审批：合同状态将从签署中→用印中</w:t>
      </w:r>
    </w:p>
    <w:p w14:paraId="7FB91A4B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审批通过：合同状态将从用印中→已签署</w:t>
      </w:r>
    </w:p>
    <w:p w14:paraId="22049103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审批拒绝：合同状态将从用印中→签署中</w:t>
      </w:r>
    </w:p>
    <w:p w14:paraId="3353D385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5590" cy="1238885"/>
            <wp:effectExtent l="0" t="0" r="8890" b="10795"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D95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2" w:name="_Toc16187"/>
      <w:r>
        <w:rPr>
          <w:rFonts w:hint="eastAsia"/>
          <w:rtl w:val="0"/>
          <w:lang w:val="en-US" w:eastAsia="zh-CN"/>
        </w:rPr>
        <w:t>合同完成</w:t>
      </w:r>
      <w:bookmarkEnd w:id="22"/>
    </w:p>
    <w:p w14:paraId="5E54040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纸质合同存在甲乙丙等多个签署方的情况下，无法确切知道什么时候所有签署方都完成了盖章，因此需要手动触发【合同完成】将合同的状态置为“已完成”</w:t>
      </w:r>
    </w:p>
    <w:p w14:paraId="1421E33B">
      <w:r>
        <w:drawing>
          <wp:inline distT="0" distB="0" distL="114300" distR="114300">
            <wp:extent cx="5362575" cy="2420620"/>
            <wp:effectExtent l="0" t="0" r="190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点击【完成合同】，系统提示是否有合同终稿</w:t>
      </w:r>
    </w:p>
    <w:p w14:paraId="39FA54F7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若有合同终稿，则需要上传终稿</w:t>
      </w:r>
    </w:p>
    <w:p w14:paraId="3891C954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若没有终稿，点击确认，（无用印审批时）合同状态将从签署中→已完成，（有用印审批时）合同状态将从签订完成→已完成</w:t>
      </w:r>
    </w:p>
    <w:p w14:paraId="771DE451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2415" cy="2456180"/>
            <wp:effectExtent l="0" t="0" r="1206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E67E">
      <w:pPr>
        <w:rPr>
          <w:rFonts w:hint="default"/>
          <w:rtl w:val="0"/>
          <w:lang w:val="en-US" w:eastAsia="zh-CN"/>
        </w:rPr>
      </w:pPr>
    </w:p>
    <w:p w14:paraId="56C1CC80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3" w:name="_Toc25661"/>
      <w:r>
        <w:rPr>
          <w:rFonts w:hint="eastAsia"/>
          <w:rtl w:val="0"/>
          <w:lang w:val="en-US" w:eastAsia="zh-CN"/>
        </w:rPr>
        <w:t>合同变更</w:t>
      </w:r>
      <w:bookmarkEnd w:id="23"/>
    </w:p>
    <w:p w14:paraId="0516B42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当合同的部分权益或是内容发生变更时，需要走合同变更流程，将变更的事项进行说明，完成变更</w:t>
      </w:r>
    </w:p>
    <w:p w14:paraId="64D7D4D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合同变更按钮显示的限制：</w:t>
      </w:r>
    </w:p>
    <w:p w14:paraId="03459A47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合同状态=已完成</w:t>
      </w:r>
    </w:p>
    <w:p w14:paraId="56774B11">
      <w:pPr>
        <w:numPr>
          <w:ilvl w:val="0"/>
          <w:numId w:val="2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有合同管理-&gt;合同列表-&gt;合同变更的功能权限</w:t>
      </w:r>
    </w:p>
    <w:p w14:paraId="44D301C9">
      <w:r>
        <w:drawing>
          <wp:inline distT="0" distB="0" distL="114300" distR="114300">
            <wp:extent cx="5351780" cy="1316355"/>
            <wp:effectExtent l="0" t="0" r="12700" b="9525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6CE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若合同变更审批开关打开，则【合同变更】弹窗时，需要走审批流，否则无需走审批流，走审批流时，合同状态将从已完成→变更中</w:t>
      </w:r>
    </w:p>
    <w:p w14:paraId="1BB6B9FA">
      <w:r>
        <w:drawing>
          <wp:inline distT="0" distB="0" distL="114300" distR="114300">
            <wp:extent cx="5358130" cy="290449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4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新增变更内容：</w:t>
      </w:r>
    </w:p>
    <w:p w14:paraId="3D82CE72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补充协议：必填，上传变更的补充协议内容，仅支持上传1个，每个文件大小10M内，支持格式为doc、docx、pdf、png、jpg、jpeg</w:t>
      </w:r>
    </w:p>
    <w:p w14:paraId="2F6E39E0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变更类型：必填，条款变更、金额变更、日期变更，目前开放3种，不同类型对应的表单字段不同；</w:t>
      </w:r>
    </w:p>
    <w:p w14:paraId="788BB5A1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——1）条款变更，要求操作人输入“变更条款”，条款长度限制100字符；</w:t>
      </w:r>
    </w:p>
    <w:p w14:paraId="421E9EF1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——2）金额变更，要求操作人输入“修正后金额”，仅支持输入数字，2位小数。需不小于已创建报销的总额，否提示“金额需不小于***”。特殊说明，若合同金额类型为非固定：不支持金额变更；</w:t>
      </w:r>
    </w:p>
    <w:p w14:paraId="2254D415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新报销单关联合同时，存在限制，若合同变更审批中，则限制关联合同发起报销</w:t>
      </w:r>
    </w:p>
    <w:p w14:paraId="63A219B6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——3）日期变更，要求操作人输入“修正后到期日”，且不小于生效日期；</w:t>
      </w:r>
    </w:p>
    <w:p w14:paraId="2E622494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1305" cy="4797425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C748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变更事由：非必填，长度限制100字符；</w:t>
      </w:r>
    </w:p>
    <w:p w14:paraId="60E939D2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点击“提交”，非空格式、金额校验通过后，提示“提交成功”，返回至变更记录tab刷新；</w:t>
      </w:r>
    </w:p>
    <w:p w14:paraId="47D97C69">
      <w:pPr>
        <w:numPr>
          <w:ilvl w:val="0"/>
          <w:numId w:val="20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变更完成后，签署详情需展示变更后金额，并根据该金额做履约限制，列表的到期日期根据变更后日期展示；</w:t>
      </w:r>
    </w:p>
    <w:p w14:paraId="05D27F8F">
      <w:pPr>
        <w:numPr>
          <w:ilvl w:val="0"/>
          <w:numId w:val="2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若有变更审批流，则需要变更全部通过后，才能更新需要变更的合同条款、合同金额、日期等信息</w:t>
      </w:r>
    </w:p>
    <w:p w14:paraId="03A3C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支持提交多次变更，因此会产生多个变更记录</w:t>
      </w:r>
    </w:p>
    <w:p w14:paraId="0905D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1D05A312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提交变更审批：合同状态将从已完成→变更中</w:t>
      </w:r>
    </w:p>
    <w:p w14:paraId="02A5F3E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审批通过：合同状态将从变更中→已完成，并且内容实现变更</w:t>
      </w:r>
    </w:p>
    <w:p w14:paraId="7A98E1C2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审批拒绝：合同状态将从变更中→已完成，内容不变更</w:t>
      </w:r>
    </w:p>
    <w:p w14:paraId="51E701C6">
      <w:r>
        <w:drawing>
          <wp:inline distT="0" distB="0" distL="114300" distR="114300">
            <wp:extent cx="5356860" cy="1226185"/>
            <wp:effectExtent l="0" t="0" r="762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056B">
      <w:pPr>
        <w:rPr>
          <w:rFonts w:hint="default"/>
          <w:rtl w:val="0"/>
          <w:lang w:val="en-US" w:eastAsia="zh-CN"/>
        </w:rPr>
      </w:pPr>
    </w:p>
    <w:p w14:paraId="38B41F72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4" w:name="_Toc12115"/>
      <w:r>
        <w:rPr>
          <w:rFonts w:hint="eastAsia"/>
          <w:rtl w:val="0"/>
          <w:lang w:val="en-US" w:eastAsia="zh-CN"/>
        </w:rPr>
        <w:t>合同作废</w:t>
      </w:r>
      <w:bookmarkEnd w:id="24"/>
    </w:p>
    <w:p w14:paraId="207F621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合同不再履约则需要操作合同作废，作废的合同不展示的报销可选择的合同范围中</w:t>
      </w:r>
    </w:p>
    <w:p w14:paraId="29BE2AF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点击确认【合同作废】则合同状态将从已完成→已作废</w:t>
      </w:r>
    </w:p>
    <w:p w14:paraId="7E4FF3DE">
      <w:r>
        <w:drawing>
          <wp:inline distT="0" distB="0" distL="114300" distR="114300">
            <wp:extent cx="5354320" cy="2875280"/>
            <wp:effectExtent l="0" t="0" r="1016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01F5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合同完结（0709改）</w:t>
      </w:r>
    </w:p>
    <w:p w14:paraId="0E95D0B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在合同详情点击【合同完结】则合同状态将从已完成→已完结，已完结的合同不允许后续所有履约等操作</w:t>
      </w:r>
    </w:p>
    <w:p w14:paraId="3BCDE233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6860" cy="1887220"/>
            <wp:effectExtent l="0" t="0" r="7620" b="2540"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5C69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0670" cy="2863215"/>
            <wp:effectExtent l="0" t="0" r="3810" b="1905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74D3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5" w:name="_Toc16047"/>
      <w:r>
        <w:rPr>
          <w:rFonts w:hint="eastAsia"/>
          <w:rtl w:val="0"/>
          <w:lang w:val="en-US" w:eastAsia="zh-CN"/>
        </w:rPr>
        <w:t>合同验收</w:t>
      </w:r>
      <w:bookmarkEnd w:id="25"/>
    </w:p>
    <w:p w14:paraId="5C10A38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合同完成了所有履约，则需要对合同进行验收，使合同处于已完结状态，已完结的合同也不再履约，合同不展示的报销可选择的合同范围中</w:t>
      </w:r>
    </w:p>
    <w:p w14:paraId="19A8CFC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合同验收的单据由百搭搭建，因此是否审批，在百搭页面设置</w:t>
      </w:r>
    </w:p>
    <w:p w14:paraId="7BD9A5CF">
      <w:pPr>
        <w:numPr>
          <w:ilvl w:val="0"/>
          <w:numId w:val="21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验收时，会将合同基本信息，关联报销单的信息都置入，以便于审核人员核实</w:t>
      </w:r>
    </w:p>
    <w:p w14:paraId="3486166C">
      <w:pPr>
        <w:numPr>
          <w:ilvl w:val="0"/>
          <w:numId w:val="21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有审批流时，提交合同验收，合同状态将从已完成→验收中</w:t>
      </w:r>
    </w:p>
    <w:p w14:paraId="26E5CDAA">
      <w:pPr>
        <w:numPr>
          <w:ilvl w:val="0"/>
          <w:numId w:val="21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审批通过，合同状态将从验收中→已完结</w:t>
      </w:r>
    </w:p>
    <w:p w14:paraId="107BF924">
      <w:pPr>
        <w:numPr>
          <w:ilvl w:val="0"/>
          <w:numId w:val="21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审批拒绝，合同状态将从验收中→已完成</w:t>
      </w:r>
    </w:p>
    <w:p w14:paraId="6B5ED179">
      <w:r>
        <w:drawing>
          <wp:inline distT="0" distB="0" distL="114300" distR="114300">
            <wp:extent cx="5351145" cy="6430010"/>
            <wp:effectExtent l="0" t="0" r="1333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CFFA">
      <w:pPr>
        <w:rPr>
          <w:rFonts w:hint="default"/>
          <w:rtl w:val="0"/>
          <w:lang w:val="en-US" w:eastAsia="zh-CN"/>
        </w:rPr>
      </w:pPr>
    </w:p>
    <w:p w14:paraId="3022608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26" w:name="_Toc8688"/>
      <w:r>
        <w:rPr>
          <w:rFonts w:hint="eastAsia" w:ascii="宋体" w:hAnsi="宋体" w:eastAsia="宋体" w:cs="宋体"/>
          <w:rtl w:val="0"/>
          <w:lang w:val="en-US" w:eastAsia="zh-CN"/>
        </w:rPr>
        <w:t>合同履约</w:t>
      </w:r>
      <w:bookmarkEnd w:id="26"/>
      <w:r>
        <w:rPr>
          <w:rFonts w:hint="eastAsia" w:ascii="宋体" w:hAnsi="宋体" w:eastAsia="宋体" w:cs="宋体"/>
          <w:rtl w:val="0"/>
          <w:lang w:val="en-US" w:eastAsia="zh-CN"/>
        </w:rPr>
        <w:t>（0709新增）</w:t>
      </w:r>
    </w:p>
    <w:p w14:paraId="0802F90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入口：合同管理-&gt;合同履约</w:t>
      </w:r>
    </w:p>
    <w:p w14:paraId="613B896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菜单和功能权限：</w:t>
      </w:r>
    </w:p>
    <w:p w14:paraId="47421FA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合同管理-&gt;合同履约-&gt;履约台账，里面有付款性质合同和收款性质合同tab</w:t>
      </w:r>
    </w:p>
    <w:p w14:paraId="5E4B3D0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合同管理-&gt;合同履约-&gt;履约台账-&gt;付款性质合同</w:t>
      </w:r>
    </w:p>
    <w:p w14:paraId="504376F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合同管理-&gt;合同履约-&gt;履约台账-&gt;收款性质合同</w:t>
      </w:r>
    </w:p>
    <w:p w14:paraId="6E9918D8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合同管理-&gt;合同履约-&gt;付款计划</w:t>
      </w:r>
    </w:p>
    <w:p w14:paraId="1FECFEA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合同管理-&gt;合同履约-&gt;收款计划</w:t>
      </w:r>
    </w:p>
    <w:p w14:paraId="2DFC8B06">
      <w:pPr>
        <w:rPr>
          <w:rFonts w:hint="eastAsia"/>
          <w:rtl w:val="0"/>
          <w:lang w:val="en-US" w:eastAsia="zh-CN"/>
        </w:rPr>
      </w:pPr>
    </w:p>
    <w:p w14:paraId="2D3EEF9F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7" w:name="_Toc23203"/>
      <w:r>
        <w:rPr>
          <w:rFonts w:hint="eastAsia"/>
          <w:rtl w:val="0"/>
          <w:lang w:val="en-US" w:eastAsia="zh-CN"/>
        </w:rPr>
        <w:t>履约台账</w:t>
      </w:r>
      <w:bookmarkEnd w:id="27"/>
    </w:p>
    <w:p w14:paraId="1266D6A3">
      <w:r>
        <w:drawing>
          <wp:inline distT="0" distB="0" distL="114300" distR="114300">
            <wp:extent cx="5346700" cy="2305050"/>
            <wp:effectExtent l="0" t="0" r="2540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96E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入口：合同管理-&gt;合同履约</w:t>
      </w:r>
    </w:p>
    <w:p w14:paraId="78E111C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菜单和功能权限：</w:t>
      </w:r>
    </w:p>
    <w:p w14:paraId="5CC0C58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合同管理-&gt;合同履约-&gt;履约台账，里面有付款性质合同和收款性质合同tab</w:t>
      </w:r>
    </w:p>
    <w:p w14:paraId="4CE2795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合同管理-&gt;合同履约-&gt;履约台账-&gt;付款性质合同</w:t>
      </w:r>
    </w:p>
    <w:p w14:paraId="489B898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合同管理-&gt;合同履约-&gt;履约台账-&gt;收款性质合同</w:t>
      </w:r>
    </w:p>
    <w:p w14:paraId="7C2EF97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合同管理-&gt;合同履约-&gt;列表导出，收付款用同一个</w:t>
      </w:r>
    </w:p>
    <w:p w14:paraId="65F269B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数据权限：</w:t>
      </w:r>
    </w:p>
    <w:p w14:paraId="34B06673">
      <w:pPr>
        <w:numPr>
          <w:ilvl w:val="0"/>
          <w:numId w:val="2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合同性质=收款OR付款，合同状态=已完成的合同数据，流转至合同履约台账列表</w:t>
      </w:r>
    </w:p>
    <w:p w14:paraId="6FD80156">
      <w:pPr>
        <w:numPr>
          <w:ilvl w:val="0"/>
          <w:numId w:val="22"/>
        </w:numPr>
        <w:ind w:left="420" w:leftChars="0" w:hanging="420" w:firstLineChars="0"/>
        <w:rPr>
          <w:rFonts w:hint="eastAsia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部门人员：查看自己创建+合同归属部门</w:t>
      </w:r>
    </w:p>
    <w:p w14:paraId="27F44F5B">
      <w:pPr>
        <w:numPr>
          <w:ilvl w:val="0"/>
          <w:numId w:val="22"/>
        </w:numPr>
        <w:ind w:left="420" w:leftChars="0" w:hanging="420" w:firstLineChars="0"/>
        <w:rPr>
          <w:rFonts w:hint="eastAsia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单位管理员：查看单位下是所有合同展示</w:t>
      </w:r>
    </w:p>
    <w:p w14:paraId="47957146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731707FC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1、顶部tab栏：</w:t>
      </w:r>
    </w:p>
    <w:p w14:paraId="39C008D0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付款类合同和收款类切换展示</w:t>
      </w:r>
    </w:p>
    <w:p w14:paraId="409E03C9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根据权限显示收款性质合同或是付款性质合同的2个tab</w:t>
      </w:r>
    </w:p>
    <w:p w14:paraId="1ED23BC3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2CF3A507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2、搜索栏：</w:t>
      </w:r>
    </w:p>
    <w:p w14:paraId="0103077E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合同编号：精确查询</w:t>
      </w:r>
    </w:p>
    <w:p w14:paraId="21CCD834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合同名称：模糊查查询</w:t>
      </w:r>
    </w:p>
    <w:p w14:paraId="094FD1AF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合同类型：默认全部，从合同类型中取值，只支持选择1个</w:t>
      </w:r>
    </w:p>
    <w:p w14:paraId="444BC991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参与方：模糊查询，支持搜索所有签署方名称</w:t>
      </w:r>
    </w:p>
    <w:p w14:paraId="28C7BD85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履约状况：默认全部，固定选择履约中、已完结 2种状态，只支持选择1个；履约中=合同状态为“已完成”</w:t>
      </w:r>
    </w:p>
    <w:p w14:paraId="2087BCE9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0635A79A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3、提示条：</w:t>
      </w:r>
    </w:p>
    <w:p w14:paraId="0F03EAD6">
      <w:pPr>
        <w:numPr>
          <w:ilvl w:val="0"/>
          <w:numId w:val="2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合同金额：用户在当前单位数据范围内 的合同金额的总金额</w:t>
      </w:r>
    </w:p>
    <w:p w14:paraId="6C084C48">
      <w:pPr>
        <w:numPr>
          <w:ilvl w:val="0"/>
          <w:numId w:val="2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计划总金额：用户在当前单位数据范围内 的计划的总金额</w:t>
      </w:r>
    </w:p>
    <w:p w14:paraId="5D7FD6FC">
      <w:pPr>
        <w:numPr>
          <w:ilvl w:val="0"/>
          <w:numId w:val="2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已付款金额：用户在当前单位数据范围内的合同的累计已付款金额</w:t>
      </w:r>
    </w:p>
    <w:p w14:paraId="7BDD7F2C">
      <w:pPr>
        <w:numPr>
          <w:ilvl w:val="0"/>
          <w:numId w:val="2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未付款金额：用户在当前单位数据范围内的合同的累计未付款金额；（固定金额类型的合同）未付款金额=合同金额-已付款金额；和（非固定金额类型的合同）未付款金额=计划总金额-已付款金额</w:t>
      </w:r>
    </w:p>
    <w:p w14:paraId="61B162F7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4344673D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4、功能栏：【导出列表】</w:t>
      </w:r>
    </w:p>
    <w:p w14:paraId="5CB7A60E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显示前提：判断是否有导出列表的功能权限，有则显示，无则隐藏</w:t>
      </w:r>
    </w:p>
    <w:p w14:paraId="2C59091D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导出文件类型：xlsx</w:t>
      </w:r>
    </w:p>
    <w:p w14:paraId="4F2FEF16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文件名称：{20260122}合同履约台账</w:t>
      </w:r>
    </w:p>
    <w:p w14:paraId="5665CD47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文件内容：当前页面筛选出的合同列表数据，文件与履约台账列表保持一致</w:t>
      </w:r>
    </w:p>
    <w:p w14:paraId="5A2727AB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导出限制：接口每分钟最多10次，每个单位导出上限2000条，超过后提示操作过于频繁或是超过2000条限制</w:t>
      </w:r>
    </w:p>
    <w:p w14:paraId="15141AE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54955" cy="302260"/>
            <wp:effectExtent l="0" t="0" r="9525" b="254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28C2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2FE2E8FA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5、列表栏：</w:t>
      </w:r>
    </w:p>
    <w:p w14:paraId="1A4B9851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合同编号：</w:t>
      </w:r>
    </w:p>
    <w:p w14:paraId="0B3E65F0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合同名称：</w:t>
      </w:r>
    </w:p>
    <w:p w14:paraId="172AA773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参与方：展示多个签署方信息</w:t>
      </w:r>
    </w:p>
    <w:p w14:paraId="07D6FCB3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合同类型：全部展示</w:t>
      </w:r>
    </w:p>
    <w:p w14:paraId="6034AE1F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履约状态：全部展示；履约中、已完结</w:t>
      </w:r>
    </w:p>
    <w:p w14:paraId="3AE6F937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履约金额：取履约金额，若无金额则展示“-”</w:t>
      </w:r>
    </w:p>
    <w:p w14:paraId="21478F66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计划总金额：取当前合同下创建的所有计划总金额，保留2位小数展示</w:t>
      </w:r>
    </w:p>
    <w:p w14:paraId="3EE65A90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已付款金额：报销单支付金额，保留2位小数展示</w:t>
      </w:r>
    </w:p>
    <w:p w14:paraId="7CB39A3A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未付款金额：（固定金额）未付款=履约金额-已付款金额，（非固定金额类型的合同）未付款金额=计划总金额-已付款金额</w:t>
      </w:r>
    </w:p>
    <w:p w14:paraId="753A0D3D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执行进度：（固定金额）付款进度=已付款金额/合同金额；（非固定金额）付款金额=已付款金额/计划总金额，无计划则进度显示“-”</w:t>
      </w:r>
    </w:p>
    <w:p w14:paraId="70422247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操作：详情</w:t>
      </w:r>
    </w:p>
    <w:p w14:paraId="15EE8C60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——详情页面，同现有合同的详情页，里面的操作都保持一致</w:t>
      </w:r>
    </w:p>
    <w:p w14:paraId="4F72E97F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32A37089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6、付款和收款tab下的操作一致，数据分别展示和处理</w:t>
      </w:r>
    </w:p>
    <w:p w14:paraId="40810534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● 列表的数据调整下，合同金额、计划总金额、已收款金额、未收款金额、执行金额 </w:t>
      </w:r>
    </w:p>
    <w:p w14:paraId="65200A24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6198A511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付款计划（0709新增）</w:t>
      </w:r>
    </w:p>
    <w:p w14:paraId="2B065C07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收付款性质的合同可创建对应的履约计划，比如收款计划或是付款计划</w:t>
      </w:r>
    </w:p>
    <w:p w14:paraId="4E1EF335">
      <w:pPr>
        <w:widowControl/>
        <w:jc w:val="left"/>
      </w:pPr>
      <w:r>
        <w:drawing>
          <wp:inline distT="0" distB="0" distL="114300" distR="114300">
            <wp:extent cx="5346700" cy="185229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68C9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入口：合同管理-&gt;合同履约-&gt;付款计划</w:t>
      </w:r>
    </w:p>
    <w:p w14:paraId="5A121479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将合同下的计划单独进行管控，后期可按照权限处理，仅支持业务去履约，不支持创建和修改计划</w:t>
      </w:r>
    </w:p>
    <w:p w14:paraId="6DD78D13">
      <w:pPr>
        <w:widowControl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349875" cy="2293620"/>
            <wp:effectExtent l="0" t="0" r="14605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DF4F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收款计划（0709新增）</w:t>
      </w:r>
    </w:p>
    <w:p w14:paraId="750DDEAD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收付款性质的合同可创建对应的履约计划，比如收款计划或是付款计划</w:t>
      </w:r>
    </w:p>
    <w:p w14:paraId="18D73EE4">
      <w:pPr>
        <w:widowControl/>
        <w:jc w:val="left"/>
      </w:pPr>
      <w:r>
        <w:drawing>
          <wp:inline distT="0" distB="0" distL="114300" distR="114300">
            <wp:extent cx="5346700" cy="185229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A8FC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入口：合同管理-&gt;合同履约-&gt;收款计划</w:t>
      </w:r>
    </w:p>
    <w:p w14:paraId="7021A2A1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将合同下的计划单独进行管控，后期可按照权限处理，仅支持业务去履约，不支持创建和修改计划</w:t>
      </w:r>
    </w:p>
    <w:p w14:paraId="18090901">
      <w:pPr>
        <w:widowControl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354955" cy="2073910"/>
            <wp:effectExtent l="0" t="0" r="9525" b="1397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E6C9">
      <w:pPr>
        <w:widowControl/>
        <w:jc w:val="left"/>
        <w:rPr>
          <w:rFonts w:hint="default"/>
          <w:lang w:val="en-US" w:eastAsia="zh-CN"/>
        </w:rPr>
      </w:pPr>
    </w:p>
    <w:p w14:paraId="24A3E84E">
      <w:pPr>
        <w:widowControl/>
        <w:jc w:val="left"/>
        <w:rPr>
          <w:rFonts w:hint="eastAsia"/>
          <w:lang w:val="en-US" w:eastAsia="zh-CN"/>
        </w:rPr>
      </w:pPr>
    </w:p>
    <w:p w14:paraId="01BC1C94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Tips：若合同是固定金额，则显示“</w:t>
      </w:r>
      <w:r>
        <w:rPr>
          <w:rFonts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合同金额: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 10.00    已经分配金额：2.00    未分配金额：8.00</w:t>
      </w:r>
      <w:r>
        <w:rPr>
          <w:rFonts w:hint="eastAsia"/>
          <w:lang w:val="en-US" w:eastAsia="zh-CN"/>
        </w:rPr>
        <w:t>”——未分配金额=合同金额-已分配金额，其中已分配金额即创建的计划总金额</w:t>
      </w:r>
    </w:p>
    <w:p w14:paraId="4BD828B5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若合同没有金额，则无提示，计划金额也不会受限</w:t>
      </w:r>
      <w:r>
        <w:commentReference w:id="4"/>
      </w:r>
    </w:p>
    <w:p w14:paraId="52FF2CF8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可以在合同新建时创建收付款计划，也可以在合同已完成后新增收付款计划</w:t>
      </w:r>
    </w:p>
    <w:p w14:paraId="35EE7512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计划列表：</w:t>
      </w:r>
    </w:p>
    <w:p w14:paraId="7DC3FE0F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按照计划创建时间正序排列，即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新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创建的排在最后；</w:t>
      </w:r>
    </w:p>
    <w:p w14:paraId="77D50307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序号：自动显示，按照列表数量升序排列，若中间有计划被删除，自动往前移</w:t>
      </w:r>
    </w:p>
    <w:p w14:paraId="1A1F13F7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计划名称：显示10位，超过后···，鼠标hover显示全内容</w:t>
      </w:r>
    </w:p>
    <w:p w14:paraId="2AA82CCA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计划金额：数字格式显示，保留2位小数，如300,000.00</w:t>
      </w:r>
    </w:p>
    <w:p w14:paraId="7E71D5E0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执行日期：时间格式，展示年月日，如202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6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-10-31</w:t>
      </w:r>
    </w:p>
    <w:p w14:paraId="3BDFB5CD">
      <w:pPr>
        <w:widowControl/>
        <w:numPr>
          <w:ilvl w:val="0"/>
          <w:numId w:val="23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备注：显示15位，超过后···，鼠标hover显示全内容</w:t>
      </w:r>
    </w:p>
    <w:p w14:paraId="1C9465F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合同详情（0709新增）</w:t>
      </w:r>
    </w:p>
    <w:p w14:paraId="3E1F09DC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合同基本信息</w:t>
      </w:r>
    </w:p>
    <w:p w14:paraId="21E9FB9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运营机构-&gt;实施工具-&gt;单位管理-&gt;表单和流程</w:t>
      </w:r>
    </w:p>
    <w:p w14:paraId="20096F06"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</w:p>
    <w:p w14:paraId="25AC50A7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付款管理</w:t>
      </w:r>
    </w:p>
    <w:p w14:paraId="728C805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收款性质的合同，合同已完成后，可进行收款管理操作</w:t>
      </w:r>
    </w:p>
    <w:p w14:paraId="76ECAD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Tips：</w:t>
      </w:r>
    </w:p>
    <w:p w14:paraId="3A4F6BFB">
      <w:pPr>
        <w:rPr>
          <w:rFonts w:hint="eastAsia"/>
        </w:rPr>
      </w:pPr>
      <w:r>
        <w:rPr>
          <w:rFonts w:hint="eastAsia"/>
        </w:rPr>
        <w:t>功能说明：考虑到行政事业单位存在付款计划与实际报销单不严格对应的情况，对应付款计划与验收单不严格对应，先验收后付款或是先付款再验收场景也存在，因此本期的逻辑先按照三者关系不严控来处理</w:t>
      </w:r>
    </w:p>
    <w:p w14:paraId="3E57E48D">
      <w:pPr>
        <w:rPr>
          <w:rFonts w:hint="eastAsia"/>
        </w:rPr>
      </w:pPr>
      <w:r>
        <w:rPr>
          <w:rFonts w:hint="eastAsia"/>
        </w:rPr>
        <w:t>1. 付款计划 ↔ 报销单</w:t>
      </w:r>
    </w:p>
    <w:p w14:paraId="05027B82">
      <w:pPr>
        <w:rPr>
          <w:rFonts w:hint="eastAsia"/>
        </w:rPr>
      </w:pPr>
      <w:r>
        <w:rPr>
          <w:rFonts w:hint="eastAsia"/>
        </w:rPr>
        <w:t xml:space="preserve">    a. 一个计划可发起一个报销单；</w:t>
      </w:r>
    </w:p>
    <w:p w14:paraId="40752ADF">
      <w:pPr>
        <w:rPr>
          <w:rFonts w:hint="eastAsia"/>
        </w:rPr>
      </w:pPr>
      <w:r>
        <w:rPr>
          <w:rFonts w:hint="eastAsia"/>
        </w:rPr>
        <w:t xml:space="preserve">    b. 无计划也可直接发起报销单；</w:t>
      </w:r>
    </w:p>
    <w:p w14:paraId="7818A963">
      <w:pPr>
        <w:rPr>
          <w:rFonts w:hint="eastAsia"/>
        </w:rPr>
      </w:pPr>
      <w:r>
        <w:rPr>
          <w:rFonts w:hint="eastAsia"/>
        </w:rPr>
        <w:t xml:space="preserve">    c. 所有报销单统一进入付款管理列表的关联报销单列表。</w:t>
      </w:r>
    </w:p>
    <w:p w14:paraId="102BDD9E">
      <w:pPr>
        <w:rPr>
          <w:rFonts w:hint="eastAsia"/>
        </w:rPr>
      </w:pPr>
      <w:r>
        <w:rPr>
          <w:rFonts w:hint="eastAsia"/>
        </w:rPr>
        <w:t>2. 付款计划 ↔ 验收单</w:t>
      </w:r>
    </w:p>
    <w:p w14:paraId="51F6B4E3">
      <w:pPr>
        <w:rPr>
          <w:rFonts w:hint="eastAsia"/>
        </w:rPr>
      </w:pPr>
      <w:r>
        <w:rPr>
          <w:rFonts w:hint="eastAsia"/>
        </w:rPr>
        <w:t xml:space="preserve">    a. 一个计划可发起验收单或是不通过计划发起验收；</w:t>
      </w:r>
    </w:p>
    <w:p w14:paraId="6F3305CF">
      <w:pPr>
        <w:rPr>
          <w:rFonts w:hint="eastAsia"/>
        </w:rPr>
      </w:pPr>
      <w:r>
        <w:rPr>
          <w:rFonts w:hint="eastAsia"/>
        </w:rPr>
        <w:t>3. 验收单 ↔ 报销单</w:t>
      </w:r>
    </w:p>
    <w:p w14:paraId="30C3B82C">
      <w:pPr>
        <w:rPr>
          <w:rFonts w:hint="eastAsia"/>
        </w:rPr>
      </w:pPr>
      <w:r>
        <w:rPr>
          <w:rFonts w:hint="eastAsia"/>
        </w:rPr>
        <w:t xml:space="preserve">    a. 验收单可关联 / 不关联报销单。</w:t>
      </w:r>
    </w:p>
    <w:p w14:paraId="6957357F">
      <w:pPr>
        <w:rPr>
          <w:rFonts w:hint="eastAsia"/>
        </w:rPr>
      </w:pPr>
      <w:r>
        <w:rPr>
          <w:rFonts w:hint="eastAsia"/>
        </w:rPr>
        <w:t xml:space="preserve">    b. 验收单可关联/ 不关联计划</w:t>
      </w:r>
    </w:p>
    <w:p w14:paraId="2C519626">
      <w:pPr>
        <w:rPr>
          <w:rFonts w:hint="eastAsia"/>
        </w:rPr>
      </w:pPr>
      <w:r>
        <w:rPr>
          <w:rFonts w:hint="eastAsia"/>
        </w:rPr>
        <w:t>4. 验收执行记录</w:t>
      </w:r>
    </w:p>
    <w:p w14:paraId="36049056">
      <w:r>
        <w:rPr>
          <w:rFonts w:hint="eastAsia"/>
        </w:rPr>
        <w:t xml:space="preserve">    a. 验收单执行后生成验收执行记录，可手动关联计划</w:t>
      </w:r>
    </w:p>
    <w:p w14:paraId="40A2EC44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0035" cy="3569970"/>
            <wp:effectExtent l="0" t="0" r="4445" b="11430"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70D4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付款计划管理</w:t>
      </w:r>
    </w:p>
    <w:p w14:paraId="4102E04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新建计划和去付款</w:t>
      </w:r>
    </w:p>
    <w:p w14:paraId="7C0AD2B4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序号：最先创建计划在最前面，支持排序，排序将序号将自动调整</w:t>
      </w:r>
    </w:p>
    <w:p w14:paraId="79A432B8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计划名称：</w:t>
      </w:r>
    </w:p>
    <w:p w14:paraId="7ED9F83B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计划金额（元）</w:t>
      </w:r>
    </w:p>
    <w:p w14:paraId="2D62DF65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执行时间</w:t>
      </w:r>
    </w:p>
    <w:p w14:paraId="21498137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备注</w:t>
      </w:r>
    </w:p>
    <w:p w14:paraId="6ECB5D30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执行转台：待验收，已验收</w:t>
      </w:r>
    </w:p>
    <w:p w14:paraId="46067166">
      <w:pPr>
        <w:numPr>
          <w:ilvl w:val="0"/>
          <w:numId w:val="2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操作：查看、验收、关联回单、删除，</w:t>
      </w:r>
    </w:p>
    <w:p w14:paraId="5925E73F">
      <w:pPr>
        <w:numPr>
          <w:ilvl w:val="0"/>
          <w:numId w:val="2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排序：手动拖拽调整顺序</w:t>
      </w:r>
    </w:p>
    <w:p w14:paraId="6A358A97">
      <w:r>
        <w:drawing>
          <wp:inline distT="0" distB="0" distL="114300" distR="114300">
            <wp:extent cx="5347970" cy="2693035"/>
            <wp:effectExtent l="0" t="0" r="1270" b="4445"/>
            <wp:docPr id="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C445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去付款（待优化）</w:t>
      </w:r>
    </w:p>
    <w:p w14:paraId="17A5EAB4">
      <w:pPr>
        <w:rPr>
          <w:rFonts w:hint="eastAsia"/>
          <w:rtl w:val="0"/>
          <w:lang w:val="en-US" w:eastAsia="zh-CN"/>
        </w:rPr>
      </w:pPr>
      <w:bookmarkStart w:id="44" w:name="_GoBack"/>
      <w:r>
        <w:rPr>
          <w:rFonts w:hint="eastAsia"/>
          <w:rtl w:val="0"/>
          <w:lang w:val="en-US" w:eastAsia="zh-CN"/>
        </w:rPr>
        <w:t>功能说明：从合同管理可直接去付款，跳转至对应的我的支出管理的单据页面，并带入对应的合同信息</w:t>
      </w:r>
    </w:p>
    <w:p w14:paraId="4027266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入口：单个计划可跳转去付款，付款计划列表的去支付</w:t>
      </w:r>
    </w:p>
    <w:p w14:paraId="04783FD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</w:t>
      </w:r>
    </w:p>
    <w:p w14:paraId="105D57F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1、总的【去付款】下拉选择关联的报销单，若仅对应一种类型，也只能下拉选中跳转</w:t>
      </w:r>
    </w:p>
    <w:p w14:paraId="312A8B6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自动带入合同至对应单据组件中</w:t>
      </w:r>
    </w:p>
    <w:p w14:paraId="6D5F0D9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2、单个计划的【去付款】，下拉选择关联的报销单，带入合同和计划信息</w:t>
      </w:r>
    </w:p>
    <w:p w14:paraId="1C8BCC7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带入合同的处理：合同信息置入，收款人信息置入</w:t>
      </w:r>
    </w:p>
    <w:p w14:paraId="73D8F8E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带入计划的处理：</w:t>
      </w:r>
    </w:p>
    <w:p w14:paraId="0D2B805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验收是否作为付款前置条件=是，则计划的验收状态未通过，将限制“去支付”报错提示“{一期付款计划名称}关联的验收通过后才允许去支付”</w:t>
      </w:r>
    </w:p>
    <w:p w14:paraId="33182D9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● 验收是否作为付款前置条件=是，验收执行计划的【验收】单据，百搭搭建，可设置关联计划是否必填，若配置了验收关联的计划非必填，则会导致验收单已通过，但是未关联计划，目前在验收单列表允许补充验收单与计划的关系，关系补充后，计划列表的单个“去支付”可实现跳转</w:t>
      </w:r>
    </w:p>
    <w:p w14:paraId="65071095">
      <w:r>
        <w:drawing>
          <wp:inline distT="0" distB="0" distL="114300" distR="114300">
            <wp:extent cx="5360670" cy="1747520"/>
            <wp:effectExtent l="0" t="0" r="3810" b="5080"/>
            <wp:docPr id="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4"/>
    <w:p w14:paraId="0D41A08D">
      <w:pPr>
        <w:rPr>
          <w:rFonts w:hint="eastAsia"/>
          <w:color w:val="0000FF"/>
          <w:rtl w:val="0"/>
          <w:lang w:val="en-US" w:eastAsia="zh-CN"/>
        </w:rPr>
      </w:pPr>
      <w:r>
        <w:rPr>
          <w:rFonts w:hint="eastAsia"/>
          <w:color w:val="0000FF"/>
          <w:rtl w:val="0"/>
          <w:lang w:val="en-US" w:eastAsia="zh-CN"/>
        </w:rPr>
        <w:t>目前将所有报销单成列，后期需要增加合同与报销单据关系</w:t>
      </w:r>
    </w:p>
    <w:p w14:paraId="4D55A4F4">
      <w:pPr>
        <w:rPr>
          <w:rFonts w:hint="eastAsia"/>
          <w:rtl w:val="0"/>
          <w:lang w:val="en-US" w:eastAsia="zh-CN"/>
        </w:rPr>
      </w:pPr>
    </w:p>
    <w:p w14:paraId="6A74299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跳转至对应的报销单时，百搭或是固定场景都带入合同信息</w:t>
      </w:r>
    </w:p>
    <w:p w14:paraId="4CCF0248">
      <w:r>
        <w:drawing>
          <wp:inline distT="0" distB="0" distL="114300" distR="114300">
            <wp:extent cx="5359400" cy="3289300"/>
            <wp:effectExtent l="0" t="0" r="5080" b="2540"/>
            <wp:docPr id="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F2B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合同的剩余报销金额的限制：</w:t>
      </w:r>
    </w:p>
    <w:p w14:paraId="41838B5B">
      <w:pPr>
        <w:numPr>
          <w:ilvl w:val="0"/>
          <w:numId w:val="2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单据提交后，合同的本次报销金额即被占用，即合同剩余可报销金额=合同总金额-已提交单据的合同金额；单据拒绝后，本次报销的合同金额会被释放</w:t>
      </w:r>
    </w:p>
    <w:p w14:paraId="4BC3E7E1"/>
    <w:p w14:paraId="65309812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报销记录</w:t>
      </w:r>
    </w:p>
    <w:p w14:paraId="0691C03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合同关联的所有报销单都将统一展示在报销记录中</w:t>
      </w:r>
    </w:p>
    <w:p w14:paraId="383504FD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其中：合同创建时录入的“已履约金额”，将自动创建一条数据至报销记录，保证合同总金额和履约全部金额可对账处理</w:t>
      </w:r>
    </w:p>
    <w:p w14:paraId="1C56520B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225" cy="1417320"/>
            <wp:effectExtent l="0" t="0" r="8255" b="0"/>
            <wp:docPr id="8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4820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履约保证金记录</w:t>
      </w:r>
    </w:p>
    <w:p w14:paraId="6D5C4044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针对付款性质合同，履约保证金一般=先付后收</w:t>
      </w:r>
    </w:p>
    <w:p w14:paraId="01E099BA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列表信息：</w:t>
      </w:r>
    </w:p>
    <w:p w14:paraId="06BD4740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签署方：取合同的签署方</w:t>
      </w:r>
    </w:p>
    <w:p w14:paraId="6D9681C3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执行类型：履约保证金</w:t>
      </w:r>
    </w:p>
    <w:p w14:paraId="41228743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类型：应付，应收</w:t>
      </w:r>
    </w:p>
    <w:p w14:paraId="30567845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状态：待付，待收</w:t>
      </w:r>
    </w:p>
    <w:p w14:paraId="6BB4BD58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关联信息：显示关联报销单信息</w:t>
      </w:r>
    </w:p>
    <w:p w14:paraId="49214D9D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操作：（状态=待付）已付、去付款；（状态=待收）已收、关联回单；</w:t>
      </w:r>
    </w:p>
    <w:p w14:paraId="249589ED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860" cy="580390"/>
            <wp:effectExtent l="0" t="0" r="7620" b="13970"/>
            <wp:docPr id="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6FC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合同创建时，履约保证金性质=先付后收</w:t>
      </w:r>
    </w:p>
    <w:p w14:paraId="64D1534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a. 合同完成时，自动创建一条数据，履约保证金状态=待付，可手动标记“已付”，也可点击【去支付】选择报销单类型后跳转至对应的单据页面，并将合同信息置入，主要对接百搭单据，目前客户还未搭建起来，可以后面再映射；最好是关联单据状态变成已完成，履约保证金的状态再变成“已付”</w:t>
      </w:r>
    </w:p>
    <w:p w14:paraId="07CC0BD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b. 合同终验完成后，自动创建一条数据，履约保证金状态=待收，可手动标记“已收”，可点击【关联回单】</w:t>
      </w:r>
    </w:p>
    <w:p w14:paraId="2A64EF1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c. 最后一次的履约保证金状态变“已收”或是“已付”后，暂不限制计划去操作“去支付”或是“关联回单”</w:t>
      </w:r>
    </w:p>
    <w:p w14:paraId="48279EBC">
      <w:pPr>
        <w:ind w:firstLine="48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d. 已收和已付操作无审批流，需二次确认</w:t>
      </w:r>
    </w:p>
    <w:p w14:paraId="6D58299A">
      <w:r>
        <w:drawing>
          <wp:inline distT="0" distB="0" distL="114300" distR="114300">
            <wp:extent cx="5357495" cy="591820"/>
            <wp:effectExtent l="0" t="0" r="6985" b="254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9A3E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8" w:name="_Toc1492"/>
      <w:r>
        <w:rPr>
          <w:rFonts w:hint="eastAsia"/>
          <w:rtl w:val="0"/>
          <w:lang w:val="en-US" w:eastAsia="zh-CN"/>
        </w:rPr>
        <w:t>验收执行记录</w:t>
      </w:r>
      <w:bookmarkEnd w:id="28"/>
    </w:p>
    <w:p w14:paraId="4BC82E6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在合同详情的列表，可根据创建的计划前往报销单报销</w:t>
      </w:r>
    </w:p>
    <w:p w14:paraId="3335271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合同的验收</w:t>
      </w:r>
    </w:p>
    <w:p w14:paraId="3CC05F4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1. 基础信息</w:t>
      </w:r>
    </w:p>
    <w:p w14:paraId="12FAF36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经办人：必填，取当前登录人，不允许调整</w:t>
      </w:r>
    </w:p>
    <w:p w14:paraId="741AA4D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申请部门：必填，取当前登录人所在部门，允许调整</w:t>
      </w:r>
    </w:p>
    <w:p w14:paraId="08A9266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申请事由：必填，自定义输入</w:t>
      </w:r>
    </w:p>
    <w:p w14:paraId="77B595D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验收类型：必填，新增，终验、分期验收</w:t>
      </w:r>
    </w:p>
    <w:p w14:paraId="1F72205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内部参与人：必填，新增，取内部单位人员，允许选择多个</w:t>
      </w:r>
    </w:p>
    <w:p w14:paraId="4B3BF26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外部人员：非必填，新增，自定义输入姓名+手机号，允许多个，外部用户会触发手机短信签署通知</w:t>
      </w:r>
    </w:p>
    <w:p w14:paraId="0385F21B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3980180" cy="2571115"/>
            <wp:effectExtent l="0" t="0" r="12700" b="4445"/>
            <wp:docPr id="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1E8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2. 合同信息</w:t>
      </w:r>
    </w:p>
    <w:p w14:paraId="18C7B37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（不允许编辑，从合同表中获取）</w:t>
      </w:r>
    </w:p>
    <w:p w14:paraId="46E4FD1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合同名称：已存在</w:t>
      </w:r>
    </w:p>
    <w:p w14:paraId="47B2BC8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合同编号：已存在</w:t>
      </w:r>
    </w:p>
    <w:p w14:paraId="7FB1E3C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合同总金额：已存在，调整为履约金额</w:t>
      </w:r>
    </w:p>
    <w:p w14:paraId="45A9E66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合同类型：已存在</w:t>
      </w:r>
    </w:p>
    <w:p w14:paraId="0090113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所属项目：已存在</w:t>
      </w:r>
    </w:p>
    <w:p w14:paraId="440EDB1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3. 签署方名称</w:t>
      </w:r>
    </w:p>
    <w:p w14:paraId="7BCCDA0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（不允许编辑，从合同表中获取，可删除，至少保留1个）</w:t>
      </w:r>
    </w:p>
    <w:p w14:paraId="73F394E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签署方名称：已存在</w:t>
      </w:r>
    </w:p>
    <w:p w14:paraId="671E88E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4. 合同详情（已存在）换效果</w:t>
      </w:r>
    </w:p>
    <w:p w14:paraId="053E2F4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合同信息：合同编号+合同名称+合同金额+支付方式（分期付款/一次性付款）</w:t>
      </w:r>
    </w:p>
    <w:p w14:paraId="124765F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合同文档和附件：文件名称（下载+预览）</w:t>
      </w:r>
    </w:p>
    <w:p w14:paraId="48CADEF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可报销金额：</w:t>
      </w:r>
    </w:p>
    <w:p w14:paraId="54271E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本次报销金额：</w:t>
      </w:r>
    </w:p>
    <w:p w14:paraId="4E81156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——主要呈现合同文件+履约金额+已付款金额 即可</w:t>
      </w:r>
    </w:p>
    <w:p w14:paraId="7D23A19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5. 关联单据</w:t>
      </w:r>
    </w:p>
    <w:p w14:paraId="5722346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自动带入合同关联的报销单信息，若无报销单则允许手动添加</w:t>
      </w:r>
    </w:p>
    <w:p w14:paraId="4FE8CCB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6. 关联计划</w:t>
      </w:r>
    </w:p>
    <w:p w14:paraId="0811272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（原本应该根据配置判断是否必填，百搭由运营设置好是否必填）</w:t>
      </w:r>
    </w:p>
    <w:p w14:paraId="5572C43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从当前合同中选择，允许选择1个或是多个，若关联计划必填&amp;合同无计划，则流程受阻</w:t>
      </w:r>
    </w:p>
    <w:p w14:paraId="667D3F8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计划名称：新增</w:t>
      </w:r>
    </w:p>
    <w:p w14:paraId="3E9C047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计划金额（元）：新建</w:t>
      </w:r>
    </w:p>
    <w:p w14:paraId="0848508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    ○ 计划执行时间：新建</w:t>
      </w:r>
    </w:p>
    <w:p w14:paraId="0AAB8C6C">
      <w:pPr>
        <w:ind w:firstLine="48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○ 计划备注：新建</w:t>
      </w:r>
    </w:p>
    <w:p w14:paraId="54C3FA59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2232025" cy="2068830"/>
            <wp:effectExtent l="0" t="0" r="8255" b="3810"/>
            <wp:docPr id="7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E11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7. 审批流（百搭可配置是否开启）</w:t>
      </w:r>
    </w:p>
    <w:p w14:paraId="51A1A4CF">
      <w:r>
        <w:drawing>
          <wp:inline distT="0" distB="0" distL="114300" distR="114300">
            <wp:extent cx="5354320" cy="6160135"/>
            <wp:effectExtent l="0" t="0" r="10160" b="12065"/>
            <wp:docPr id="7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61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D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验收执行记录表：</w:t>
      </w:r>
    </w:p>
    <w:p w14:paraId="2567E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按照创建时间正序排列</w:t>
      </w:r>
    </w:p>
    <w:p w14:paraId="67EC6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验收类型：取百搭单据类型，自定义的列表名称显示</w:t>
      </w:r>
    </w:p>
    <w:p w14:paraId="547F2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说明：</w:t>
      </w:r>
    </w:p>
    <w:p w14:paraId="3D1AD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参与人员：内外部人员都显示在一个框内</w:t>
      </w:r>
    </w:p>
    <w:p w14:paraId="7B0A0E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● 提交人：单据提交人</w:t>
      </w:r>
    </w:p>
    <w:p w14:paraId="0E704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状态：已通过、待提交、待审批</w:t>
      </w:r>
    </w:p>
    <w:p w14:paraId="11D58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操作：查看，删除、关联计划</w:t>
      </w:r>
    </w:p>
    <w:p w14:paraId="54C52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——删除：待提交状态，允许删除</w:t>
      </w:r>
    </w:p>
    <w:p w14:paraId="30B57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——查看：已通过不允许删除，可查看单据内容，单据详情允许下载、作废、评论</w:t>
      </w:r>
    </w:p>
    <w:p w14:paraId="50B7E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——关联计划：补充接口，显示当前合同的计划信息，仅审批通过的验收单可关联计划，支持关联多个计划；验收单关联计划后，对应的计划列表的执行状态=已验收；一个验收单不重复关联同一个计划，验收单关联计划下拉时，仅显示未被关联的计划</w:t>
      </w:r>
    </w:p>
    <w:p w14:paraId="3B343D13">
      <w:r>
        <w:drawing>
          <wp:inline distT="0" distB="0" distL="114300" distR="114300">
            <wp:extent cx="5357495" cy="548640"/>
            <wp:effectExtent l="0" t="0" r="698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A62D"/>
    <w:p w14:paraId="133693C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验收审核人员：</w:t>
      </w:r>
    </w:p>
    <w:p w14:paraId="5FC87B92">
      <w:r>
        <w:drawing>
          <wp:inline distT="0" distB="0" distL="114300" distR="114300">
            <wp:extent cx="5346700" cy="871855"/>
            <wp:effectExtent l="0" t="0" r="2540" b="12065"/>
            <wp:docPr id="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8A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外部人员审核：通过下载二维码通知给到外部人员</w:t>
      </w:r>
    </w:p>
    <w:p w14:paraId="45FCFD52">
      <w:r>
        <w:drawing>
          <wp:inline distT="0" distB="0" distL="114300" distR="114300">
            <wp:extent cx="5361305" cy="3981450"/>
            <wp:effectExtent l="0" t="0" r="3175" b="11430"/>
            <wp:docPr id="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8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外部人员登录时：使用短信验证码登录</w:t>
      </w:r>
    </w:p>
    <w:p w14:paraId="3A252638">
      <w:pPr>
        <w:numPr>
          <w:ilvl w:val="0"/>
          <w:numId w:val="2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验收信息：</w:t>
      </w:r>
    </w:p>
    <w:p w14:paraId="58E47102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验收类型：分期验收</w:t>
      </w:r>
    </w:p>
    <w:p w14:paraId="7D171AD7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参与人员：对应人员</w:t>
      </w:r>
    </w:p>
    <w:p w14:paraId="146CFD9A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4A5F64FF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合同信息</w:t>
      </w:r>
    </w:p>
    <w:p w14:paraId="446C8F6A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</w:t>
      </w:r>
    </w:p>
    <w:p w14:paraId="4C87EF7F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合同编号：</w:t>
      </w:r>
    </w:p>
    <w:p w14:paraId="113BF76D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合同金额：</w:t>
      </w:r>
    </w:p>
    <w:p w14:paraId="48BE0094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合同类型：</w:t>
      </w:r>
    </w:p>
    <w:p w14:paraId="2167B1D5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所属项目：</w:t>
      </w:r>
    </w:p>
    <w:p w14:paraId="0C9B3386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</w:t>
      </w:r>
    </w:p>
    <w:p w14:paraId="7F12A91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58265" cy="3020060"/>
            <wp:effectExtent l="0" t="0" r="13335" b="12700"/>
            <wp:docPr id="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308100" cy="2908935"/>
            <wp:effectExtent l="0" t="0" r="2540" b="1905"/>
            <wp:docPr id="88" name="图片 88" descr="3f51349c319b7246e6b87e8f2da7c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3f51349c319b7246e6b87e8f2da7c7c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C8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外部专家完成签名后，可在报销单查看签名结果，不允许二次签名和修改</w:t>
      </w:r>
    </w:p>
    <w:p w14:paraId="4EA81064">
      <w:r>
        <w:drawing>
          <wp:inline distT="0" distB="0" distL="114300" distR="114300">
            <wp:extent cx="3694430" cy="4313555"/>
            <wp:effectExtent l="0" t="0" r="8890" b="14605"/>
            <wp:docPr id="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625C"/>
    <w:p w14:paraId="3CB026C1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验收方式=分期验收：对业务没有影响</w:t>
      </w:r>
    </w:p>
    <w:p w14:paraId="436AEDDB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验收方式=终验：</w:t>
      </w:r>
    </w:p>
    <w:p w14:paraId="5AB037E1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● 终验后仍然允许创建计划，终验完成对合同状态无影响</w:t>
      </w:r>
    </w:p>
    <w:p w14:paraId="1CAF4542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● 终验审批通过后，触发履约保证金的处理</w:t>
      </w:r>
    </w:p>
    <w:p w14:paraId="1600201A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● 终验未完成之前：履约保证金不能退 / 收</w:t>
      </w:r>
    </w:p>
    <w:p w14:paraId="3B9A52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60035" cy="2599055"/>
            <wp:effectExtent l="0" t="0" r="4445" b="698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D576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收款管理</w:t>
      </w:r>
    </w:p>
    <w:p w14:paraId="5441AA5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收款性质的合同，合同已完成后，可进行收款管理操作</w:t>
      </w:r>
    </w:p>
    <w:p w14:paraId="0E358F4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Tips：</w:t>
      </w:r>
      <w:r>
        <w:rPr>
          <w:rFonts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合同金额: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 100.00已收款金额：3.00未收款金额：97.00</w:t>
      </w:r>
    </w:p>
    <w:p w14:paraId="6C5D1C30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收款计划管理</w:t>
      </w:r>
    </w:p>
    <w:p w14:paraId="0A0A938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新建计划和关联回单</w:t>
      </w:r>
    </w:p>
    <w:p w14:paraId="446D9D4C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序号：最先创建计划在最前面，支持排序，排序将序号将自动调整</w:t>
      </w:r>
    </w:p>
    <w:p w14:paraId="58D7FE6B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计划名称：</w:t>
      </w:r>
    </w:p>
    <w:p w14:paraId="7BE21F90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计划金额（元）</w:t>
      </w:r>
    </w:p>
    <w:p w14:paraId="38915BF5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执行时间</w:t>
      </w:r>
    </w:p>
    <w:p w14:paraId="543A17E9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备注</w:t>
      </w:r>
    </w:p>
    <w:p w14:paraId="20F6ECF9">
      <w:pPr>
        <w:numPr>
          <w:ilvl w:val="0"/>
          <w:numId w:val="2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执行转台：待验收，已验收</w:t>
      </w:r>
    </w:p>
    <w:p w14:paraId="7BE1BC84">
      <w:pPr>
        <w:numPr>
          <w:ilvl w:val="0"/>
          <w:numId w:val="2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操作：查看、验收、关联回单、删除，</w:t>
      </w:r>
    </w:p>
    <w:p w14:paraId="6DF8CEF0">
      <w:pPr>
        <w:numPr>
          <w:ilvl w:val="0"/>
          <w:numId w:val="2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排序：手动拖拽调整顺序</w:t>
      </w:r>
    </w:p>
    <w:p w14:paraId="15137C88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0670" cy="2433955"/>
            <wp:effectExtent l="0" t="0" r="3810" b="4445"/>
            <wp:docPr id="9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3870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银行回单记录</w:t>
      </w:r>
    </w:p>
    <w:p w14:paraId="52F42EF7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收款合同，可关联银行回单，所有计划关联银行回单，或是履约保证金关联银行回单，都会将数据记录在银行回单记录中，便于数据统计</w:t>
      </w:r>
    </w:p>
    <w:p w14:paraId="3EB5EEED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7495" cy="883285"/>
            <wp:effectExtent l="0" t="0" r="6985" b="635"/>
            <wp:docPr id="9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353C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履约保证金记录</w:t>
      </w:r>
    </w:p>
    <w:p w14:paraId="0B66F38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针对收款性质合同，履约保证金一般=先收后退</w:t>
      </w:r>
    </w:p>
    <w:p w14:paraId="70EC929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列表信息：</w:t>
      </w:r>
    </w:p>
    <w:p w14:paraId="385BC010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签署方：取合同的签署方</w:t>
      </w:r>
    </w:p>
    <w:p w14:paraId="76CC9EAA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执行类型：履约保证金</w:t>
      </w:r>
    </w:p>
    <w:p w14:paraId="2F781E21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类型：应付，应付</w:t>
      </w:r>
    </w:p>
    <w:p w14:paraId="6173232A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状态：待收，待付</w:t>
      </w:r>
    </w:p>
    <w:p w14:paraId="09BC0B3D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关联信息：显示关联回单信息</w:t>
      </w:r>
    </w:p>
    <w:p w14:paraId="7AE6DC94">
      <w:pPr>
        <w:numPr>
          <w:ilvl w:val="0"/>
          <w:numId w:val="2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操作：（状态=待收）已收、关联回单；（状态=待付）已付、去付款</w:t>
      </w:r>
    </w:p>
    <w:p w14:paraId="1A058138">
      <w:r>
        <w:drawing>
          <wp:inline distT="0" distB="0" distL="114300" distR="114300">
            <wp:extent cx="5350510" cy="556895"/>
            <wp:effectExtent l="0" t="0" r="13970" b="6985"/>
            <wp:docPr id="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3996">
      <w:pPr>
        <w:pStyle w:val="7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验收执行记录</w:t>
      </w:r>
    </w:p>
    <w:p w14:paraId="1F0AA453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同上</w:t>
      </w:r>
    </w:p>
    <w:p w14:paraId="61F8F7CE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变更记录</w:t>
      </w:r>
    </w:p>
    <w:p w14:paraId="3907046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支持合同条款、合同金额、合同到期日期变更</w:t>
      </w:r>
    </w:p>
    <w:p w14:paraId="43ADF606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47970" cy="2919730"/>
            <wp:effectExtent l="0" t="0" r="1270" b="635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5278">
      <w:pPr>
        <w:pStyle w:val="6"/>
        <w:tabs>
          <w:tab w:val="left" w:pos="720"/>
          <w:tab w:val="clear" w:pos="1008"/>
        </w:tabs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29" w:name="_Toc10139"/>
      <w:r>
        <w:rPr>
          <w:rFonts w:hint="eastAsia" w:ascii="宋体" w:hAnsi="宋体" w:eastAsia="宋体" w:cs="宋体"/>
          <w:rtl w:val="0"/>
          <w:lang w:val="en-US" w:eastAsia="zh-CN"/>
        </w:rPr>
        <w:t>纠纷管理</w:t>
      </w:r>
      <w:bookmarkEnd w:id="29"/>
    </w:p>
    <w:p w14:paraId="0D026138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纠纷管理tab的显隐受后台配置影响，开启配置后才显示</w:t>
      </w:r>
    </w:p>
    <w:p w14:paraId="4FB718D8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合同纠纷事项的页面由百搭搭建，支持后期字段的扩展</w:t>
      </w:r>
    </w:p>
    <w:p w14:paraId="7BDDD15A">
      <w:r>
        <w:drawing>
          <wp:inline distT="0" distB="0" distL="114300" distR="114300">
            <wp:extent cx="5353050" cy="1155065"/>
            <wp:effectExtent l="0" t="0" r="11430" b="3175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5D0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点击【新增事件】展示如下内容</w:t>
      </w:r>
    </w:p>
    <w:p w14:paraId="6F25B0E5">
      <w:r>
        <w:drawing>
          <wp:inline distT="0" distB="0" distL="114300" distR="114300">
            <wp:extent cx="5356860" cy="4747895"/>
            <wp:effectExtent l="0" t="0" r="7620" b="6985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241E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1）基本信息：</w:t>
      </w:r>
    </w:p>
    <w:p w14:paraId="6A930B9A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经办人：带入当前操作人，不允许编辑</w:t>
      </w:r>
    </w:p>
    <w:p w14:paraId="13BCEE0F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申请部门：带入当前操作人的工作部门， 允许切换成其他部门</w:t>
      </w:r>
    </w:p>
    <w:p w14:paraId="74B3A16F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申请事由：必填</w:t>
      </w:r>
    </w:p>
    <w:p w14:paraId="49BA9733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2）合同信息：</w:t>
      </w:r>
    </w:p>
    <w:p w14:paraId="797D8F81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合同信息会自动带入，不允许修改，主要有合同名称、合同编号、合同类型3个字段</w:t>
      </w:r>
    </w:p>
    <w:p w14:paraId="62C82E82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3）纠纷信息：</w:t>
      </w:r>
    </w:p>
    <w:p w14:paraId="70CDA4E1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事项编号：选填，长度限制50字符，无需做去重校验；</w:t>
      </w:r>
    </w:p>
    <w:p w14:paraId="48BDD796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事项类型：必填，单选，可选范围包括：民事案件、商事案件、仲裁案件、刑事案件、行政案件；</w:t>
      </w:r>
    </w:p>
    <w:p w14:paraId="5B4F6D13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事项名称：必填，长度限制50字符；</w:t>
      </w:r>
    </w:p>
    <w:p w14:paraId="1A65E766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事项来由：选填，长度限制50字符；</w:t>
      </w:r>
    </w:p>
    <w:p w14:paraId="35E4962C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跟进人：选填，从单位用户中选择</w:t>
      </w:r>
      <w:r>
        <w:rPr>
          <w:rFonts w:hint="eastAsia"/>
          <w:rtl w:val="0"/>
          <w:lang w:val="en-US" w:eastAsia="zh-CN"/>
        </w:rPr>
        <w:t>，仅支持选择1个</w:t>
      </w:r>
      <w:r>
        <w:rPr>
          <w:rFonts w:hint="default" w:eastAsia="宋体"/>
          <w:rtl w:val="0"/>
          <w:lang w:val="en-US" w:eastAsia="zh-CN"/>
        </w:rPr>
        <w:t>；</w:t>
      </w:r>
    </w:p>
    <w:p w14:paraId="2BE50109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日期：选填，可选范围【1601-2099】；</w:t>
      </w:r>
    </w:p>
    <w:p w14:paraId="43E4C64A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处理结果：选填，默认待处理，</w:t>
      </w:r>
      <w:r>
        <w:rPr>
          <w:rFonts w:hint="eastAsia"/>
          <w:rtl w:val="0"/>
          <w:lang w:val="en-US" w:eastAsia="zh-CN"/>
        </w:rPr>
        <w:t>支持切换成处理中、已处理、已撤回</w:t>
      </w:r>
    </w:p>
    <w:p w14:paraId="16209D8B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结果说明：选填，长度限制50字符；</w:t>
      </w:r>
    </w:p>
    <w:p w14:paraId="7D2F17AF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相关材料：非必填，上传对应文件</w:t>
      </w:r>
    </w:p>
    <w:p w14:paraId="380B01C0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4）事件当事人</w:t>
      </w:r>
    </w:p>
    <w:p w14:paraId="4985D664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当事人个数：至少1个，最多50个。每条当事人信息必填字段需均已填写才支持提交；</w:t>
      </w:r>
    </w:p>
    <w:p w14:paraId="111A8BE1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类型：必填，默认企业，支持切换为个人；</w:t>
      </w:r>
    </w:p>
    <w:p w14:paraId="4B78227A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企业名称/姓名：必填，长度限制50位；</w:t>
      </w:r>
    </w:p>
    <w:p w14:paraId="28739063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属性：必填，单选，可选范围</w:t>
      </w:r>
      <w:r>
        <w:rPr>
          <w:rFonts w:hint="eastAsia"/>
          <w:rtl w:val="0"/>
          <w:lang w:val="en-US" w:eastAsia="zh-CN"/>
        </w:rPr>
        <w:t>有原告-上述人、申请人、再审申请人、原审原告；被告-被上诉人、被申请人、再审被申请人、原审被告；第三人-法定代理人、委托代理人、其他</w:t>
      </w:r>
      <w:r>
        <w:rPr>
          <w:rFonts w:hint="default" w:eastAsia="宋体"/>
          <w:rtl w:val="0"/>
          <w:lang w:val="en-US" w:eastAsia="zh-CN"/>
        </w:rPr>
        <w:t>；</w:t>
      </w:r>
    </w:p>
    <w:p w14:paraId="256DA517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税号/证件号：选填，长度限制50位；</w:t>
      </w:r>
    </w:p>
    <w:p w14:paraId="07E4AC03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联系方式：选填，长度限制50位；</w:t>
      </w:r>
    </w:p>
    <w:p w14:paraId="110588B8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联系地址：选填，长度限制50位；</w:t>
      </w:r>
    </w:p>
    <w:p w14:paraId="262333D5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5）审批流：</w:t>
      </w:r>
    </w:p>
    <w:p w14:paraId="6E16FD8B">
      <w:pPr>
        <w:numPr>
          <w:ilvl w:val="0"/>
          <w:numId w:val="30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在百搭单据中设置是否有审批流</w:t>
      </w:r>
    </w:p>
    <w:p w14:paraId="47EAE4C6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提交的单据需要走审批流，则在合同详情的【审批记录】中增加一条记录</w:t>
      </w:r>
    </w:p>
    <w:p w14:paraId="300108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49875" cy="1216660"/>
            <wp:effectExtent l="0" t="0" r="14605" b="2540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E1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同时不管是否有审批流，都会在【纠纷管理】tab下新增一条数据</w:t>
      </w:r>
    </w:p>
    <w:p w14:paraId="71E656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60035" cy="1260475"/>
            <wp:effectExtent l="0" t="0" r="4445" b="444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EE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需要跟踪处理状态的情况，可将提交人设置在审批流中，以便于调整事件的处理结果，比如A提交时，事件的处理状态是待处理，等BCD审核完成后，事件进入到已处理状态，则在流转至A，A可修改事件处理结果从待处理→已处理</w:t>
      </w:r>
    </w:p>
    <w:p w14:paraId="128F3C5B">
      <w:pPr>
        <w:rPr>
          <w:rFonts w:ascii="微软雅黑" w:hAnsi="微软雅黑" w:eastAsia="微软雅黑"/>
        </w:rPr>
      </w:pPr>
    </w:p>
    <w:p w14:paraId="7F570578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审批记录</w:t>
      </w:r>
    </w:p>
    <w:p w14:paraId="37840E07">
      <w:r>
        <w:drawing>
          <wp:inline distT="0" distB="0" distL="114300" distR="114300">
            <wp:extent cx="5356860" cy="1103630"/>
            <wp:effectExtent l="0" t="0" r="7620" b="889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2D49">
      <w:pPr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将所有审批统计记录，可查看记录情况</w:t>
      </w:r>
    </w:p>
    <w:p w14:paraId="3BF9D928"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</w:p>
    <w:p w14:paraId="264B803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0" w:name="_Toc18758"/>
      <w:r>
        <w:rPr>
          <w:rFonts w:hint="eastAsia" w:ascii="宋体" w:hAnsi="宋体" w:eastAsia="宋体" w:cs="宋体"/>
          <w:rtl w:val="0"/>
          <w:lang w:val="en-US" w:eastAsia="zh-CN"/>
        </w:rPr>
        <w:t>合同配置</w:t>
      </w:r>
      <w:bookmarkEnd w:id="30"/>
    </w:p>
    <w:p w14:paraId="62977FE6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处理合同后台相关的配置，如合同类型，合同提醒、合同审批流是否启用等</w:t>
      </w:r>
    </w:p>
    <w:p w14:paraId="638F450F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入口：合同管理-&gt;合同配置</w:t>
      </w:r>
    </w:p>
    <w:p w14:paraId="09955F6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1" w:name="_Toc27231"/>
      <w:r>
        <w:rPr>
          <w:rFonts w:hint="eastAsia"/>
          <w:rtl w:val="0"/>
          <w:lang w:val="en-US" w:eastAsia="zh-CN"/>
        </w:rPr>
        <w:t>合同类型</w:t>
      </w:r>
      <w:bookmarkEnd w:id="31"/>
    </w:p>
    <w:p w14:paraId="1D3440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合同类型系统置入了通用合同、采购合同额、销售合同，其他类型可设置可调整</w:t>
      </w:r>
    </w:p>
    <w:p w14:paraId="66FAD3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筛选：</w:t>
      </w:r>
    </w:p>
    <w:p w14:paraId="26F3738E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合同类型：支持模糊筛选</w:t>
      </w:r>
    </w:p>
    <w:p w14:paraId="34ED10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列表：</w:t>
      </w:r>
    </w:p>
    <w:p w14:paraId="387FF883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类型名称：多级展示，默认的合同分类：通用合同，对应的备注默认为“系统预置分类，不可删除”</w:t>
      </w:r>
    </w:p>
    <w:p w14:paraId="68D03AF6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备注：自定义备注信息，若是预制合同类型，默认提示“系统预置分类，不可删除”</w:t>
      </w:r>
    </w:p>
    <w:p w14:paraId="3CB53E28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操作：添加下级、编辑</w:t>
      </w:r>
    </w:p>
    <w:p w14:paraId="60F8AD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——删除时二次校验，若有合同关联，则不允许删除</w:t>
      </w:r>
    </w:p>
    <w:p w14:paraId="6A3A40EE">
      <w:r>
        <w:drawing>
          <wp:inline distT="0" distB="0" distL="114300" distR="114300">
            <wp:extent cx="4905375" cy="219075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59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1750" cy="714375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7B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——添加下级时：</w:t>
      </w:r>
    </w:p>
    <w:p w14:paraId="5482850E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新增类型和编辑类型的弹窗，字段保持一致</w:t>
      </w:r>
    </w:p>
    <w:p w14:paraId="7FDDD206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类型名称：必填，10个字以内，支持中文、英文、特殊符号等</w:t>
      </w:r>
    </w:p>
    <w:p w14:paraId="09542976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关联上级：默认为关联的上一级信息，不允许切换其他“关联上级”，若有关联一级，则当前合同类型为二级，仅支持选择1个</w:t>
      </w:r>
    </w:p>
    <w:p w14:paraId="02786E88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备注：非必填，100字以内</w:t>
      </w:r>
    </w:p>
    <w:p w14:paraId="40087F5F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税号下二级分类数量上限总共100个（不包括预置的），超过提醒“最多100个二级分类”；二类类型名称同一企业下能重复，在同一类合同类型下不能重复，重复提示“二类合同类型名称重复”，一类名称可与二类名称相同，同级别名称不能重复</w:t>
      </w:r>
    </w:p>
    <w:p w14:paraId="3459367B">
      <w:pPr>
        <w:rPr>
          <w:rFonts w:hint="default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5351780" cy="1873885"/>
            <wp:effectExtent l="0" t="0" r="12700" b="635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60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操作功能栏：新增合同类型</w:t>
      </w:r>
    </w:p>
    <w:p w14:paraId="603E4695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类型名称：必填，10个字以内的中文、英文、特殊符号，不支持空格输入</w:t>
      </w:r>
    </w:p>
    <w:p w14:paraId="3A5C7C44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关联上级：默认为空，即当前类型为一级，选填，可选择当前企业已创建的一级类型名称，若关联了一级，则当前创建的合同类型为二级</w:t>
      </w:r>
    </w:p>
    <w:p w14:paraId="4C999746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备注：非必填，默认空。长度100字以内</w:t>
      </w:r>
    </w:p>
    <w:p w14:paraId="01DCAC90">
      <w:pPr>
        <w:numPr>
          <w:ilvl w:val="0"/>
          <w:numId w:val="3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一级分类数量上限20个（不包括预置的），超过提醒“最多20个一级分类”；一级类型名称同一企业下不能重复，重复提示“合同类型名称重复”，一类名称可与二类名称相同，同级别名称不能重复</w:t>
      </w:r>
    </w:p>
    <w:p w14:paraId="5B8E60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60670" cy="1725930"/>
            <wp:effectExtent l="0" t="0" r="3810" b="1143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548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2" w:name="_Toc315"/>
      <w:r>
        <w:rPr>
          <w:rFonts w:hint="eastAsia"/>
          <w:rtl w:val="0"/>
          <w:lang w:val="en-US" w:eastAsia="zh-CN"/>
        </w:rPr>
        <w:t>规则配置</w:t>
      </w:r>
      <w:bookmarkEnd w:id="32"/>
    </w:p>
    <w:p w14:paraId="5747C00D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功能配置（0709新增）</w:t>
      </w:r>
    </w:p>
    <w:p w14:paraId="4CE67C3D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功能配置：</w:t>
      </w:r>
    </w:p>
    <w:p w14:paraId="0D844AD4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是否开启“纠纷管理”管理合同案件，默认关闭</w:t>
      </w:r>
    </w:p>
    <w:p w14:paraId="4492DDF9"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——说明：影响合同详情是否有“纠纷管理”tab</w:t>
      </w:r>
    </w:p>
    <w:p w14:paraId="5187A719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是否严格按照付款计划执行，默认关闭</w:t>
      </w:r>
    </w:p>
    <w:p w14:paraId="7A351145"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——说明：控制报销是否强绑定付款计划、期次、金额，若配置“是”则报销单必须按照计划金额、计划顺序进行付款</w:t>
      </w:r>
    </w:p>
    <w:p w14:paraId="762F6139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验收是否作为付款前置条件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，默认关闭</w:t>
      </w:r>
    </w:p>
    <w:p w14:paraId="1201D46E"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——说明：控制是否必须验收通过才能提交收/付款申请，若配置“是”则验收单需关联计划，验收通过后，允许指定计划去付款操作</w:t>
      </w:r>
    </w:p>
    <w:p w14:paraId="46C96357"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56225" cy="1271270"/>
            <wp:effectExtent l="0" t="0" r="825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2D57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审批配置</w:t>
      </w:r>
    </w:p>
    <w:p w14:paraId="1819FD65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审批配置：</w:t>
      </w:r>
    </w:p>
    <w:p w14:paraId="19CBD9AC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合同审批是否开启</w:t>
      </w:r>
    </w:p>
    <w:p w14:paraId="54E89722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合同用印审批是否开启</w:t>
      </w:r>
    </w:p>
    <w:p w14:paraId="79921D53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合同变更审批是否开启</w:t>
      </w:r>
    </w:p>
    <w:p w14:paraId="30518AE9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</w:p>
    <w:p w14:paraId="7E85DB85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4467225" cy="3886200"/>
            <wp:effectExtent l="0" t="0" r="133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F7FF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消息提醒配置</w:t>
      </w:r>
    </w:p>
    <w:p w14:paraId="118D17A3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合同即将到期前xx天提醒：默认关闭，允许指定人员或是合同创建人</w:t>
      </w:r>
    </w:p>
    <w:p w14:paraId="6335E368">
      <w:pPr>
        <w:widowControl/>
        <w:numPr>
          <w:ilvl w:val="0"/>
          <w:numId w:val="3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合同履约计划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执行的消息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提醒：默认关闭</w:t>
      </w:r>
    </w:p>
    <w:p w14:paraId="482C38D2">
      <w:pPr>
        <w:widowControl/>
        <w:jc w:val="left"/>
      </w:pPr>
      <w:r>
        <w:drawing>
          <wp:inline distT="0" distB="0" distL="114300" distR="114300">
            <wp:extent cx="5361940" cy="2251075"/>
            <wp:effectExtent l="0" t="0" r="2540" b="4445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8E16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支持触发钉钉、浙政钉、皖政通消息提醒</w:t>
      </w:r>
    </w:p>
    <w:p w14:paraId="4C879B99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消息内容：</w:t>
      </w:r>
    </w:p>
    <w:tbl>
      <w:tblPr>
        <w:tblStyle w:val="33"/>
        <w:tblW w:w="8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1478"/>
        <w:gridCol w:w="691"/>
        <w:gridCol w:w="1103"/>
        <w:gridCol w:w="826"/>
        <w:gridCol w:w="3647"/>
      </w:tblGrid>
      <w:tr w14:paraId="008CB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2C5D01BF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场景归类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04655251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场景说明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26FDA81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消息类型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237480FD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接收方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5EFBF1D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通知渠道</w:t>
            </w:r>
          </w:p>
        </w:tc>
        <w:tc>
          <w:tcPr>
            <w:tcW w:w="3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418D025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模板内容</w:t>
            </w:r>
          </w:p>
        </w:tc>
      </w:tr>
      <w:tr w14:paraId="4743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54403206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履约提醒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7FDA4AEE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color w:val="333333"/>
                <w:sz w:val="21"/>
                <w:szCs w:val="21"/>
              </w:rPr>
              <w:t>通知计划创建人及时执行履约计划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54A731D1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7C56425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创建人、指定人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4474636E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浙政钉+钉钉</w:t>
            </w:r>
          </w:p>
        </w:tc>
        <w:tc>
          <w:tcPr>
            <w:tcW w:w="3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3089489E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color w:val="333333"/>
                <w:sz w:val="21"/>
                <w:szCs w:val="21"/>
              </w:rPr>
              <w:t>{《合同名称》}+{计划名称}对应的计划执行日期为{2026年5月1日}，请及时处理。</w:t>
            </w:r>
          </w:p>
        </w:tc>
      </w:tr>
      <w:tr w14:paraId="6E1C2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45A162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0725F5D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color w:val="333333"/>
                <w:sz w:val="21"/>
                <w:szCs w:val="21"/>
              </w:rPr>
              <w:t>通知合同即将到期及时续签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BFE77E6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4F2A0FB7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创建人、指定人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38E7DD85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t>浙政钉+钉钉</w:t>
            </w:r>
          </w:p>
        </w:tc>
        <w:tc>
          <w:tcPr>
            <w:tcW w:w="3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37CF19DA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color w:val="333333"/>
                <w:sz w:val="21"/>
                <w:szCs w:val="21"/>
              </w:rPr>
              <w:t>《合同名称》+将于{2026年5月1日}到期，请及时处理。</w:t>
            </w:r>
          </w:p>
        </w:tc>
      </w:tr>
    </w:tbl>
    <w:p w14:paraId="179CFC2D">
      <w:pPr>
        <w:widowControl/>
        <w:jc w:val="left"/>
      </w:pPr>
    </w:p>
    <w:p w14:paraId="17CE8E8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</w:t>
      </w:r>
    </w:p>
    <w:p w14:paraId="27CD3D07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支持合同提前设置好编号规则，按照部门维度系统自定义生成编号规则</w:t>
      </w:r>
    </w:p>
    <w:p w14:paraId="6A03B4D2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入口：合同管理-&gt;合同配置-&gt;合同编号，新tab</w:t>
      </w:r>
    </w:p>
    <w:p w14:paraId="418290D5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</w:p>
    <w:p w14:paraId="4CC07818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1、2个编号列表的tab</w:t>
      </w:r>
    </w:p>
    <w:p w14:paraId="02BDD4AE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区分合同编号规则和合同连续性编号，切换显示不同编码规则</w:t>
      </w:r>
    </w:p>
    <w:p w14:paraId="647F7822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合同编号规则为合同本身编号，在合同创建成功即可生成，合同可能最终没有签署的情况，因此最终合同占用了编码但是未签署</w:t>
      </w:r>
    </w:p>
    <w:p w14:paraId="2D7D5FEC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合同连续性编号，为合同归档时的序号，纸质合同归档编号需要保证不漏不缺且连续</w:t>
      </w:r>
    </w:p>
    <w:p w14:paraId="2D80567A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</w:p>
    <w:p w14:paraId="1ED89DA4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2、2个合同编号的列表</w:t>
      </w:r>
    </w:p>
    <w:p w14:paraId="3250C594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合同编号规则：自定义描述+日期+流水号位数+自定义描述。流水号位数根据数字位数显示，例如6位则显示123456，9位则显示123456789</w:t>
      </w:r>
    </w:p>
    <w:p w14:paraId="6789648E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——编号规则显示示例：CWYYYYMMDD123456HT</w:t>
      </w:r>
    </w:p>
    <w:p w14:paraId="69265010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归属部门：显示当前编码规则所属部门，多个部门逗号隔开</w:t>
      </w:r>
    </w:p>
    <w:p w14:paraId="1FC58866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状态：启用，停用。一个部门仅可有一个启用的合同编号规则，启用编号时判断编号归属部门是否已有启用的其他编号规则，若有则弹框提示“当前单位已有在用的编号规则【CWYYYYMM123456TT】，确认启用后将停用原规则，是否确认启用？”</w:t>
      </w:r>
    </w:p>
    <w:p w14:paraId="268F8168">
      <w:pPr>
        <w:widowControl/>
        <w:numPr>
          <w:ilvl w:val="0"/>
          <w:numId w:val="33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操作：编辑，点击修改编码规则，修改编码规则后，不影响历史已生成的合同编号</w:t>
      </w:r>
    </w:p>
    <w:p w14:paraId="75EAC80D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</w:p>
    <w:p w14:paraId="2682310C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3、合同编号规则的操作：【新增编号类型】点击后显示对应的新增编号规则弹框</w:t>
      </w:r>
    </w:p>
    <w:p w14:paraId="4578A4BC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1. 规则设置</w:t>
      </w:r>
    </w:p>
    <w:p w14:paraId="1AEC6B9C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a. 自定义描述1：输入框，非必填，仅支持输入英文字母，最大20个字符</w:t>
      </w:r>
    </w:p>
    <w:p w14:paraId="6C68C028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b. 日期：必填，单选下拉选择框，可选范围：YYYYMM、YYYYMMDD、YYYYMMDDHHMMSS</w:t>
      </w:r>
    </w:p>
    <w:p w14:paraId="04DDF1C5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c. 流水号：必填，数字输入框，仅支持输入大于0的正整数，编号在流水号重置频率内依次递增。流水号在编号规则内递增</w:t>
      </w:r>
    </w:p>
    <w:p w14:paraId="0F881816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d. 自定义描述2：非必填输入框，仅支持输入英文字母，最大20个字符</w:t>
      </w:r>
    </w:p>
    <w:p w14:paraId="4C307E61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e. 自定义描述前后二者选其一必填，且需要保持单位内唯一（合同编号和合同归档编号以及已停用的编号同时检测）。光标取消后即校验自定义描述是否重复，重复提示“自定义描述不可重复”</w:t>
      </w:r>
    </w:p>
    <w:p w14:paraId="2744B299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2. 流水号重复频率：</w:t>
      </w:r>
    </w:p>
    <w:p w14:paraId="0130B6F3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a. 间隔多长时间开始从头累计。根据日期设置决定重复频率。例如日期选择YYYY，则重复频率为年，则每年合同流水号都从头累计</w:t>
      </w:r>
    </w:p>
    <w:p w14:paraId="039291DB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b. 若日期是年，流水号2位数，相当于最多生成99个合同编号，因此暂时未放置年的日期类型</w:t>
      </w:r>
    </w:p>
    <w:p w14:paraId="3DB79D16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c. 若因为设置了系统的合同编号，但是流水号不足，导致合同编号无法生成，则创建合同时做兜底逻辑，可开放合同编号输入</w:t>
      </w:r>
    </w:p>
    <w:p w14:paraId="0A57166F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>3. 归属部门</w:t>
      </w:r>
    </w:p>
    <w:p w14:paraId="6632C336">
      <w:pPr>
        <w:widowControl/>
        <w:jc w:val="left"/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Cs w:val="21"/>
          <w:lang w:val="en-US" w:eastAsia="zh-CN"/>
        </w:rPr>
        <w:t xml:space="preserve">    a. 单位内部门选择框，可多选。一个部门仅可有一个启用的合同编号规则。选择归属部门时，仅可选择未设置编码规则的部门</w:t>
      </w:r>
    </w:p>
    <w:p w14:paraId="05F7331C">
      <w:pPr>
        <w:widowControl/>
        <w:jc w:val="left"/>
      </w:pPr>
      <w:r>
        <w:drawing>
          <wp:inline distT="0" distB="0" distL="114300" distR="114300">
            <wp:extent cx="5356860" cy="1294130"/>
            <wp:effectExtent l="0" t="0" r="7620" b="1270"/>
            <wp:docPr id="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7BCB">
      <w:pPr>
        <w:widowControl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356225" cy="2925445"/>
            <wp:effectExtent l="0" t="0" r="8255" b="63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C79A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连续性合同编号：</w:t>
      </w:r>
    </w:p>
    <w:p w14:paraId="17A8DD90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362575" cy="2569210"/>
            <wp:effectExtent l="0" t="0" r="1905" b="6350"/>
            <wp:docPr id="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689D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生效时间=用印申请时，即用印申请单据提交时，即可生成合同归档编号，合同详情页面增加合同归档编号</w:t>
      </w:r>
    </w:p>
    <w:p w14:paraId="7490E04B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357495" cy="2936875"/>
            <wp:effectExtent l="0" t="0" r="6985" b="4445"/>
            <wp:docPr id="5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 descr="IMG_25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93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C9E14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生效时间=合同完成时：接合同完成后，增加合同归档编号</w:t>
      </w:r>
    </w:p>
    <w:p w14:paraId="38BE7E9F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360035" cy="1450340"/>
            <wp:effectExtent l="0" t="0" r="4445" b="12700"/>
            <wp:docPr id="52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 descr="IMG_257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45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F0AE5C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</w:p>
    <w:p w14:paraId="4730758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r>
        <w:rPr>
          <w:rFonts w:hint="eastAsia" w:ascii="宋体" w:hAnsi="宋体" w:eastAsia="宋体" w:cs="宋体"/>
          <w:rtl w:val="0"/>
          <w:lang w:val="en-US" w:eastAsia="zh-CN"/>
        </w:rPr>
        <w:t>合同主题库（数据看板）</w:t>
      </w:r>
    </w:p>
    <w:p w14:paraId="3D98A969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目前仅部署在安徽，浙江暂未实现</w:t>
      </w:r>
    </w:p>
    <w:p w14:paraId="2E76D196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入口：主题库-&gt;合同管理</w:t>
      </w:r>
    </w:p>
    <w:p w14:paraId="56B573F4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27AB10D2">
      <w:pPr>
        <w:widowControl/>
        <w:numPr>
          <w:ilvl w:val="0"/>
          <w:numId w:val="3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年份：默认当年</w:t>
      </w:r>
    </w:p>
    <w:p w14:paraId="6895ED0E">
      <w:pPr>
        <w:widowControl/>
        <w:numPr>
          <w:ilvl w:val="0"/>
          <w:numId w:val="3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月份：默认当月</w:t>
      </w:r>
    </w:p>
    <w:p w14:paraId="13B98626">
      <w:pPr>
        <w:widowControl/>
        <w:numPr>
          <w:ilvl w:val="0"/>
          <w:numId w:val="3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自定义查询时间起和止：默认空</w:t>
      </w:r>
    </w:p>
    <w:p w14:paraId="175EBCF9">
      <w:pPr>
        <w:widowControl/>
        <w:numPr>
          <w:ilvl w:val="0"/>
          <w:numId w:val="3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合同类型：默认全部，支持筛选库中的合同多层级</w:t>
      </w:r>
    </w:p>
    <w:p w14:paraId="6F5F96FD">
      <w:pPr>
        <w:widowControl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363210" cy="1173480"/>
            <wp:effectExtent l="0" t="0" r="1270" b="0"/>
            <wp:docPr id="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8D93">
      <w:pPr>
        <w:widowControl/>
        <w:numPr>
          <w:ilvl w:val="0"/>
          <w:numId w:val="0"/>
        </w:numPr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数据看板内容：</w:t>
      </w:r>
    </w:p>
    <w:p w14:paraId="0B165F00">
      <w:pPr>
        <w:widowControl/>
        <w:jc w:val="left"/>
      </w:pPr>
      <w:r>
        <w:drawing>
          <wp:inline distT="0" distB="0" distL="114300" distR="114300">
            <wp:extent cx="5354320" cy="2298065"/>
            <wp:effectExtent l="0" t="0" r="10160" b="3175"/>
            <wp:docPr id="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1B44">
      <w:pPr>
        <w:widowControl/>
        <w:jc w:val="left"/>
      </w:pPr>
      <w:r>
        <w:drawing>
          <wp:inline distT="0" distB="0" distL="114300" distR="114300">
            <wp:extent cx="5274310" cy="2369820"/>
            <wp:effectExtent l="0" t="0" r="1397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9F85">
      <w:pPr>
        <w:widowControl/>
        <w:jc w:val="left"/>
      </w:pPr>
      <w:r>
        <w:drawing>
          <wp:inline distT="0" distB="0" distL="114300" distR="114300">
            <wp:extent cx="5274310" cy="2879090"/>
            <wp:effectExtent l="0" t="0" r="13970" b="127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429A">
      <w:pPr>
        <w:widowControl/>
        <w:jc w:val="left"/>
      </w:pPr>
      <w:r>
        <w:drawing>
          <wp:inline distT="0" distB="0" distL="114300" distR="114300">
            <wp:extent cx="5349240" cy="1885950"/>
            <wp:effectExtent l="0" t="0" r="0" b="3810"/>
            <wp:docPr id="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3922">
      <w:pPr>
        <w:widowControl/>
        <w:jc w:val="left"/>
      </w:pPr>
      <w:r>
        <w:drawing>
          <wp:inline distT="0" distB="0" distL="114300" distR="114300">
            <wp:extent cx="5353050" cy="1213485"/>
            <wp:effectExtent l="0" t="0" r="11430" b="5715"/>
            <wp:docPr id="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03F5">
      <w:pPr>
        <w:widowControl/>
        <w:jc w:val="left"/>
      </w:pPr>
    </w:p>
    <w:p w14:paraId="14B506A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3" w:name="_Toc26848"/>
      <w:r>
        <w:rPr>
          <w:rFonts w:hint="eastAsia" w:ascii="宋体" w:hAnsi="宋体" w:eastAsia="宋体" w:cs="宋体"/>
          <w:rtl w:val="0"/>
          <w:lang w:val="en-US" w:eastAsia="zh-CN"/>
        </w:rPr>
        <w:t>上线准备</w:t>
      </w:r>
      <w:bookmarkEnd w:id="33"/>
    </w:p>
    <w:p w14:paraId="12C16E0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4" w:name="_Toc7473"/>
      <w:r>
        <w:rPr>
          <w:rFonts w:hint="eastAsia"/>
          <w:rtl w:val="0"/>
          <w:lang w:val="en-US" w:eastAsia="zh-CN"/>
        </w:rPr>
        <w:t>系统层面</w:t>
      </w:r>
      <w:bookmarkEnd w:id="34"/>
    </w:p>
    <w:p w14:paraId="3FDC82DC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合同相关的百搭单据，会以系统预制的方式给每家单位提前处理</w:t>
      </w:r>
    </w:p>
    <w:p w14:paraId="044F7BBD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目前实现的方式的，是在A单位搭建合同相关单据，会将合同相关的百搭单据打上标签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3680"/>
      </w:tblGrid>
      <w:tr w14:paraId="2301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7955767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单据名称</w:t>
            </w:r>
          </w:p>
        </w:tc>
        <w:tc>
          <w:tcPr>
            <w:tcW w:w="3680" w:type="dxa"/>
          </w:tcPr>
          <w:p w14:paraId="4400EDC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标签</w:t>
            </w:r>
          </w:p>
        </w:tc>
      </w:tr>
      <w:tr w14:paraId="368A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0F2FE2E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新建合同</w:t>
            </w:r>
          </w:p>
        </w:tc>
        <w:tc>
          <w:tcPr>
            <w:tcW w:w="3680" w:type="dxa"/>
          </w:tcPr>
          <w:p w14:paraId="6C06A29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contractCreateBaselnfo</w:t>
            </w:r>
          </w:p>
        </w:tc>
      </w:tr>
      <w:tr w14:paraId="72F0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49234CA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合同验收</w:t>
            </w:r>
          </w:p>
        </w:tc>
        <w:tc>
          <w:tcPr>
            <w:tcW w:w="3680" w:type="dxa"/>
          </w:tcPr>
          <w:p w14:paraId="68D216A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contractAcceptance</w:t>
            </w:r>
          </w:p>
        </w:tc>
      </w:tr>
      <w:tr w14:paraId="4B47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5F7DC3C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纠纷调解事项</w:t>
            </w:r>
          </w:p>
        </w:tc>
        <w:tc>
          <w:tcPr>
            <w:tcW w:w="3680" w:type="dxa"/>
          </w:tcPr>
          <w:p w14:paraId="6411DF7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contractMediation</w:t>
            </w:r>
          </w:p>
        </w:tc>
      </w:tr>
      <w:tr w14:paraId="4CE0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2055D07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验收执行记录</w:t>
            </w:r>
          </w:p>
        </w:tc>
        <w:tc>
          <w:tcPr>
            <w:tcW w:w="3680" w:type="dxa"/>
          </w:tcPr>
          <w:p w14:paraId="07F26E7D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</w:p>
        </w:tc>
      </w:tr>
    </w:tbl>
    <w:p w14:paraId="55962E67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 w14:paraId="10A80422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5" w:name="_Toc11954"/>
      <w:r>
        <w:rPr>
          <w:rFonts w:hint="eastAsia"/>
          <w:rtl w:val="0"/>
          <w:lang w:val="en-US" w:eastAsia="zh-CN"/>
        </w:rPr>
        <w:t>新老来源数据映射</w:t>
      </w:r>
      <w:bookmarkEnd w:id="35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8"/>
        <w:gridCol w:w="4218"/>
      </w:tblGrid>
      <w:tr w14:paraId="4042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  <w:shd w:val="clear" w:color="auto" w:fill="DEEBF6" w:themeFill="accent5" w:themeFillTint="32"/>
          </w:tcPr>
          <w:p w14:paraId="0D876CA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原合同数据库来源</w:t>
            </w:r>
          </w:p>
        </w:tc>
        <w:tc>
          <w:tcPr>
            <w:tcW w:w="4218" w:type="dxa"/>
            <w:shd w:val="clear" w:color="auto" w:fill="DEEBF6" w:themeFill="accent5" w:themeFillTint="32"/>
          </w:tcPr>
          <w:p w14:paraId="69CA65BC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前端展示</w:t>
            </w:r>
          </w:p>
        </w:tc>
      </w:tr>
      <w:tr w14:paraId="42F3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5017824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浙里报-合同中心-手动创建</w:t>
            </w:r>
          </w:p>
        </w:tc>
        <w:tc>
          <w:tcPr>
            <w:tcW w:w="4218" w:type="dxa"/>
          </w:tcPr>
          <w:p w14:paraId="420407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  <w:tr w14:paraId="52EA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1CE780E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浙里报=合同中心-政采云导入</w:t>
            </w:r>
          </w:p>
        </w:tc>
        <w:tc>
          <w:tcPr>
            <w:tcW w:w="4218" w:type="dxa"/>
          </w:tcPr>
          <w:p w14:paraId="6FDBF39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7A96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0747461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报销单_政采云导入</w:t>
            </w:r>
          </w:p>
        </w:tc>
        <w:tc>
          <w:tcPr>
            <w:tcW w:w="4218" w:type="dxa"/>
          </w:tcPr>
          <w:p w14:paraId="76E5A51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5561B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1E91A3BA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报销单_浙里报手动创建</w:t>
            </w:r>
          </w:p>
        </w:tc>
        <w:tc>
          <w:tcPr>
            <w:tcW w:w="4218" w:type="dxa"/>
          </w:tcPr>
          <w:p w14:paraId="35D848A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233F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C2DD6C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收入</w:t>
            </w:r>
          </w:p>
        </w:tc>
        <w:tc>
          <w:tcPr>
            <w:tcW w:w="4218" w:type="dxa"/>
          </w:tcPr>
          <w:p w14:paraId="0E86731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6483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3F40A544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往来款</w:t>
            </w:r>
          </w:p>
        </w:tc>
        <w:tc>
          <w:tcPr>
            <w:tcW w:w="4218" w:type="dxa"/>
          </w:tcPr>
          <w:p w14:paraId="2115BF81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293A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2E2E5D7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百搭单据合同</w:t>
            </w:r>
          </w:p>
        </w:tc>
        <w:tc>
          <w:tcPr>
            <w:tcW w:w="4218" w:type="dxa"/>
          </w:tcPr>
          <w:p w14:paraId="0EAC4D1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5731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495CE36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7-义乌数字签约平台</w:t>
            </w:r>
          </w:p>
        </w:tc>
        <w:tc>
          <w:tcPr>
            <w:tcW w:w="4218" w:type="dxa"/>
          </w:tcPr>
          <w:p w14:paraId="50D2E9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数字签约平台</w:t>
            </w:r>
          </w:p>
        </w:tc>
      </w:tr>
      <w:tr w14:paraId="515A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6C241F4E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8-浙里报-合同中心-乐采云导入</w:t>
            </w:r>
          </w:p>
        </w:tc>
        <w:tc>
          <w:tcPr>
            <w:tcW w:w="4218" w:type="dxa"/>
          </w:tcPr>
          <w:p w14:paraId="206A7ED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1E8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5112764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9-报销单_乐采云导入</w:t>
            </w:r>
          </w:p>
        </w:tc>
        <w:tc>
          <w:tcPr>
            <w:tcW w:w="4218" w:type="dxa"/>
          </w:tcPr>
          <w:p w14:paraId="12866C8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0E92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CA8A4F5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10-徽采云同步</w:t>
            </w:r>
          </w:p>
        </w:tc>
        <w:tc>
          <w:tcPr>
            <w:tcW w:w="4218" w:type="dxa"/>
          </w:tcPr>
          <w:p w14:paraId="5A98215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徽采云</w:t>
            </w:r>
          </w:p>
        </w:tc>
      </w:tr>
      <w:tr w14:paraId="1F54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B9EE2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11-往来录入</w:t>
            </w:r>
          </w:p>
        </w:tc>
        <w:tc>
          <w:tcPr>
            <w:tcW w:w="4218" w:type="dxa"/>
          </w:tcPr>
          <w:p w14:paraId="1EF8B64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</w:tbl>
    <w:p w14:paraId="0B82B396">
      <w:pPr>
        <w:rPr>
          <w:rFonts w:hint="eastAsia"/>
          <w:rtl w:val="0"/>
          <w:lang w:val="en-US" w:eastAsia="zh-CN"/>
        </w:rPr>
      </w:pPr>
    </w:p>
    <w:p w14:paraId="63283796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6" w:name="_Toc24129"/>
      <w:r>
        <w:rPr>
          <w:rFonts w:hint="eastAsia"/>
          <w:rtl w:val="0"/>
          <w:lang w:val="en-US" w:eastAsia="zh-CN"/>
        </w:rPr>
        <w:t>新老状态映射</w:t>
      </w:r>
      <w:bookmarkEnd w:id="36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4"/>
        <w:gridCol w:w="3682"/>
      </w:tblGrid>
      <w:tr w14:paraId="1EB8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  <w:shd w:val="clear" w:color="auto" w:fill="DEEBF6" w:themeFill="accent5" w:themeFillTint="32"/>
          </w:tcPr>
          <w:p w14:paraId="02DD94E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原合同状态</w:t>
            </w:r>
          </w:p>
        </w:tc>
        <w:tc>
          <w:tcPr>
            <w:tcW w:w="3682" w:type="dxa"/>
            <w:shd w:val="clear" w:color="auto" w:fill="DEEBF6" w:themeFill="accent5" w:themeFillTint="32"/>
          </w:tcPr>
          <w:p w14:paraId="38395B35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新合同状态</w:t>
            </w:r>
          </w:p>
        </w:tc>
      </w:tr>
      <w:tr w14:paraId="2A3A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F9CE1B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草稿（DRAFT）</w:t>
            </w:r>
          </w:p>
        </w:tc>
        <w:tc>
          <w:tcPr>
            <w:tcW w:w="3682" w:type="dxa"/>
          </w:tcPr>
          <w:p w14:paraId="471AFFA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014E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3443EF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已驳回（REJECTED）</w:t>
            </w:r>
          </w:p>
        </w:tc>
        <w:tc>
          <w:tcPr>
            <w:tcW w:w="3682" w:type="dxa"/>
          </w:tcPr>
          <w:p w14:paraId="3277C49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23B3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41209B5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46B58E8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1-提交中</w:t>
            </w:r>
          </w:p>
        </w:tc>
      </w:tr>
      <w:tr w14:paraId="63E8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7053A2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7675A5B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11-签署中</w:t>
            </w:r>
          </w:p>
        </w:tc>
      </w:tr>
      <w:tr w14:paraId="50EF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6C98CE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用印申请中（IN_SEAL）</w:t>
            </w:r>
          </w:p>
        </w:tc>
        <w:tc>
          <w:tcPr>
            <w:tcW w:w="3682" w:type="dxa"/>
          </w:tcPr>
          <w:p w14:paraId="4BCA36FB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2-用印中</w:t>
            </w:r>
          </w:p>
        </w:tc>
      </w:tr>
      <w:tr w14:paraId="12DF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F750E2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签订完成（SIGNED）</w:t>
            </w:r>
          </w:p>
        </w:tc>
        <w:tc>
          <w:tcPr>
            <w:tcW w:w="3682" w:type="dxa"/>
          </w:tcPr>
          <w:p w14:paraId="4BD7AA6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3-签订完成</w:t>
            </w:r>
          </w:p>
        </w:tc>
      </w:tr>
      <w:tr w14:paraId="029C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7D2F4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已作废（INVALID）</w:t>
            </w:r>
          </w:p>
        </w:tc>
        <w:tc>
          <w:tcPr>
            <w:tcW w:w="3682" w:type="dxa"/>
          </w:tcPr>
          <w:p w14:paraId="4217348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4-已作废</w:t>
            </w:r>
          </w:p>
        </w:tc>
      </w:tr>
      <w:tr w14:paraId="63BD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88F207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已删除</w:t>
            </w:r>
          </w:p>
        </w:tc>
        <w:tc>
          <w:tcPr>
            <w:tcW w:w="3682" w:type="dxa"/>
          </w:tcPr>
          <w:p w14:paraId="09455C63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5-已删除</w:t>
            </w:r>
          </w:p>
        </w:tc>
      </w:tr>
      <w:tr w14:paraId="3119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A2F72B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合同完成（CONTRACT_COMPLETED）</w:t>
            </w:r>
          </w:p>
        </w:tc>
        <w:tc>
          <w:tcPr>
            <w:tcW w:w="3682" w:type="dxa"/>
          </w:tcPr>
          <w:p w14:paraId="3F50622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6-已完成</w:t>
            </w:r>
          </w:p>
        </w:tc>
      </w:tr>
      <w:tr w14:paraId="7A24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49DE1C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32876A99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7-变更中</w:t>
            </w:r>
          </w:p>
        </w:tc>
      </w:tr>
      <w:tr w14:paraId="0102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B3FA788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942166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8-已完结</w:t>
            </w:r>
          </w:p>
        </w:tc>
      </w:tr>
      <w:tr w14:paraId="48F1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84B4C7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7DD980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9-验收中</w:t>
            </w:r>
          </w:p>
        </w:tc>
      </w:tr>
      <w:tr w14:paraId="36D9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DCA6B10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0F74252E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10-作废中</w:t>
            </w:r>
          </w:p>
        </w:tc>
      </w:tr>
    </w:tbl>
    <w:p w14:paraId="1AEC0407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42ADEDC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7" w:name="_Toc5394"/>
      <w:r>
        <w:rPr>
          <w:rFonts w:hint="eastAsia"/>
          <w:rtl w:val="0"/>
          <w:lang w:val="en-US" w:eastAsia="zh-CN"/>
        </w:rPr>
        <w:t>单位侧</w:t>
      </w:r>
      <w:bookmarkEnd w:id="37"/>
    </w:p>
    <w:p w14:paraId="0E51CED5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单位侧，可以根据自身的要求，调整单据的字段名称或是增加自有业务的字段</w:t>
      </w:r>
    </w:p>
    <w:p w14:paraId="19E60973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建议提前设置好功能权限和审批流（开启或是关闭）</w:t>
      </w:r>
    </w:p>
    <w:p w14:paraId="281DA403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 w14:paraId="48DCF9FF">
      <w:pPr>
        <w:widowControl/>
        <w:jc w:val="left"/>
        <w:rPr>
          <w:rFonts w:hint="eastAsia" w:ascii="宋体" w:hAnsi="宋体" w:cs="宋体"/>
          <w:kern w:val="0"/>
          <w:sz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lang w:val="en-US" w:eastAsia="zh-CN"/>
        </w:rPr>
        <w:t>中标通知书内审：则需要在政采云配置白名单，否则政采云的中标信息→合同创建，无法终止，也不会承接浙里报推送和合同数据</w:t>
      </w:r>
    </w:p>
    <w:p w14:paraId="15E94BE6">
      <w:pPr>
        <w:widowControl/>
        <w:jc w:val="left"/>
        <w:rPr>
          <w:rFonts w:hint="default" w:ascii="宋体" w:hAnsi="宋体" w:cs="宋体"/>
          <w:kern w:val="0"/>
          <w:sz w:val="24"/>
          <w:lang w:val="en-US" w:eastAsia="zh-CN"/>
        </w:rPr>
      </w:pPr>
    </w:p>
    <w:p w14:paraId="1C73A7A1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r>
        <w:rPr>
          <w:rFonts w:hint="eastAsia" w:ascii="宋体" w:hAnsi="宋体" w:eastAsia="宋体" w:cs="宋体"/>
          <w:rtl w:val="0"/>
          <w:lang w:val="en-US" w:eastAsia="zh-CN"/>
        </w:rPr>
        <w:t>定制合同</w:t>
      </w:r>
    </w:p>
    <w:p w14:paraId="00BD3E32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义乌合同</w:t>
      </w:r>
    </w:p>
    <w:p w14:paraId="73F331E6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义乌财政信息中心以报销付款为推动点，将合同能统一管理起来，义乌搭建了一套“义乌数字合同综合服务平台”将线下的合同录入系统，然后创建付款申请，请求国库一体化报销。</w:t>
      </w:r>
    </w:p>
    <w:p w14:paraId="453BBC1F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="宋体"/>
          <w:lang w:val="en-US" w:eastAsia="zh-CN"/>
        </w:rPr>
      </w:pPr>
      <w:r>
        <w:t>使用范围：</w:t>
      </w:r>
      <w:r>
        <w:rPr>
          <w:rFonts w:hint="eastAsia"/>
          <w:lang w:val="en-US" w:eastAsia="zh-CN"/>
        </w:rPr>
        <w:t>义乌</w:t>
      </w:r>
    </w:p>
    <w:p w14:paraId="5B769D1A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实现方案：义乌</w:t>
      </w:r>
      <w:r>
        <w:rPr>
          <w:rFonts w:hint="eastAsia"/>
          <w:lang w:val="en-US" w:eastAsia="zh-CN"/>
        </w:rPr>
        <w:t>信息中心</w:t>
      </w:r>
      <w:r>
        <w:t>推合同</w:t>
      </w:r>
      <w:r>
        <w:rPr>
          <w:rFonts w:hint="eastAsia"/>
          <w:lang w:val="en-US" w:eastAsia="zh-CN"/>
        </w:rPr>
        <w:t>数据</w:t>
      </w:r>
      <w:r>
        <w:t>给浙里报，再推</w:t>
      </w:r>
      <w:r>
        <w:rPr>
          <w:color w:val="0000FF"/>
        </w:rPr>
        <w:t>付款申请单</w:t>
      </w:r>
      <w:r>
        <w:t>给浙里报，业务员在浙里报的报销申请时关联</w:t>
      </w:r>
      <w:r>
        <w:rPr>
          <w:color w:val="0000FF"/>
        </w:rPr>
        <w:t>付款申请</w:t>
      </w:r>
      <w:r>
        <w:t>，走报销和打款</w:t>
      </w:r>
    </w:p>
    <w:p w14:paraId="6949DC91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方案说明：</w:t>
      </w:r>
    </w:p>
    <w:p w14:paraId="10FB4BF5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363210" cy="3105785"/>
            <wp:effectExtent l="0" t="0" r="1270" b="3175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38" w:name="image.png"/>
      <w:bookmarkEnd w:id="38"/>
    </w:p>
    <w:p w14:paraId="17F52D63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6CD06D9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39" w:name="_Toc2836"/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bookmarkEnd w:id="39"/>
    </w:p>
    <w:p w14:paraId="0E94985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0" w:name="_Toc22747"/>
      <w:r>
        <w:rPr>
          <w:rFonts w:hint="eastAsia" w:ascii="宋体" w:hAnsi="宋体" w:eastAsia="宋体" w:cs="宋体"/>
          <w:rtl w:val="0"/>
          <w:lang w:val="zh-TW" w:eastAsia="zh-TW"/>
        </w:rPr>
        <w:t>性能需求</w:t>
      </w:r>
      <w:bookmarkEnd w:id="40"/>
    </w:p>
    <w:p w14:paraId="27383078">
      <w:pPr>
        <w:rPr>
          <w:rFonts w:hint="eastAsia" w:ascii="宋体" w:hAnsi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0428565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1" w:name="_Toc8846"/>
      <w:r>
        <w:rPr>
          <w:rFonts w:hint="eastAsia" w:ascii="宋体" w:hAnsi="宋体" w:eastAsia="宋体" w:cs="宋体"/>
          <w:rtl w:val="0"/>
          <w:lang w:val="zh-TW" w:eastAsia="zh-TW"/>
        </w:rPr>
        <w:t>安全需求</w:t>
      </w:r>
      <w:bookmarkEnd w:id="41"/>
    </w:p>
    <w:p w14:paraId="27FE17CE">
      <w:pPr>
        <w:rPr>
          <w:rFonts w:hint="default" w:ascii="宋体" w:hAnsi="宋体" w:eastAsia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1F8E4F12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2" w:name="_Toc9489"/>
      <w:r>
        <w:rPr>
          <w:rFonts w:hint="eastAsia" w:ascii="宋体" w:hAnsi="宋体" w:eastAsia="宋体" w:cs="宋体"/>
          <w:rtl w:val="0"/>
          <w:lang w:val="zh-TW" w:eastAsia="zh-TW"/>
        </w:rPr>
        <w:t>兼容性需求</w:t>
      </w:r>
      <w:bookmarkEnd w:id="42"/>
    </w:p>
    <w:p w14:paraId="513751E6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新老版本兼容,义乌合同接口兼容</w:t>
      </w:r>
    </w:p>
    <w:p w14:paraId="381ADA6C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报销单创建的合同落库兼容</w:t>
      </w:r>
    </w:p>
    <w:p w14:paraId="0506885C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3" w:name="_Toc21667"/>
      <w:r>
        <w:rPr>
          <w:rFonts w:hint="eastAsia" w:ascii="宋体" w:hAnsi="宋体" w:eastAsia="宋体" w:cs="宋体"/>
          <w:rtl w:val="0"/>
          <w:lang w:val="zh-TW" w:eastAsia="zh-TW"/>
        </w:rPr>
        <w:t>相关文档需求</w:t>
      </w:r>
      <w:bookmarkEnd w:id="43"/>
    </w:p>
    <w:p w14:paraId="4D50C733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涉及用户习惯的改动：</w:t>
      </w:r>
    </w:p>
    <w:p w14:paraId="5AA0242E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隐私政策、相关协议 等内容改动</w:t>
      </w: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en-US"/>
        </w:rPr>
        <w:t>:</w:t>
      </w:r>
      <w:r>
        <w:rPr>
          <w:rFonts w:hint="eastAsia" w:ascii="宋体" w:hAnsi="宋体" w:eastAsia="宋体" w:cs="宋体"/>
          <w:color w:val="0000FF"/>
          <w:kern w:val="2"/>
          <w:u w:color="0000FF"/>
          <w:rtl w:val="0"/>
          <w:lang w:val="zh-TW" w:eastAsia="zh-CN"/>
        </w:rPr>
        <w:t>无</w:t>
      </w:r>
    </w:p>
    <w:p w14:paraId="77B7B4FC">
      <w:pPr>
        <w:rPr>
          <w:rFonts w:hint="eastAsia" w:ascii="宋体" w:hAnsi="宋体" w:eastAsia="宋体" w:cs="宋体"/>
          <w:lang w:eastAsia="zh-CN"/>
        </w:rPr>
      </w:pPr>
    </w:p>
    <w:sectPr>
      <w:type w:val="continuous"/>
      <w:pgSz w:w="11906" w:h="16838"/>
      <w:pgMar w:top="1571" w:right="1588" w:bottom="1440" w:left="1588" w:header="777" w:footer="896" w:gutter="284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颖ʘᴗʘ" w:date="2026-07-09T14:55:15Z" w:initials="">
    <w:p w14:paraId="450D9672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还未实现</w:t>
      </w:r>
    </w:p>
  </w:comment>
  <w:comment w:id="1" w:author="颖ʘᴗʘ" w:date="2026-07-09T14:58:56Z" w:initials="">
    <w:p w14:paraId="78121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firstLine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一般情况下：</w:t>
      </w:r>
    </w:p>
    <w:p w14:paraId="1646C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firstLine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采购合同（我方先支付 → 验收后收回） </w:t>
      </w:r>
    </w:p>
    <w:p w14:paraId="2B5FD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440" w:firstLine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支付保证金 → 最终验收通过 → 收回保证金</w:t>
      </w:r>
    </w:p>
    <w:p w14:paraId="38405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firstLine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销售合同（我方先收取 → 验收后退还） </w:t>
      </w:r>
    </w:p>
    <w:p w14:paraId="3309F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440" w:firstLine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收取保证金 → 最终验收通过 → 退还保证金</w:t>
      </w:r>
    </w:p>
  </w:comment>
  <w:comment w:id="2" w:author="颖ʘᴗʘ" w:date="2026-02-05T19:24:51Z" w:initials="">
    <w:p w14:paraId="4435F6FA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目前需要手动选择标签，后期优化</w:t>
      </w:r>
    </w:p>
  </w:comment>
  <w:comment w:id="3" w:author="颖ʘᴗʘ" w:date="2026-02-05T19:27:38Z" w:initials="">
    <w:p w14:paraId="0653B66B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暂不支持报销单获取多个收款账户信息</w:t>
      </w:r>
    </w:p>
  </w:comment>
  <w:comment w:id="4" w:author="颖ʘᴗʘ" w:date="2026-02-06T11:42:15Z" w:initials="">
    <w:p w14:paraId="70CD0F8E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本期暂不支持无合同金额数据去报销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50D9672" w15:done="0"/>
  <w15:commentEx w15:paraId="3309FD86" w15:done="0"/>
  <w15:commentEx w15:paraId="4435F6FA" w15:done="0"/>
  <w15:commentEx w15:paraId="0653B66B" w15:done="0"/>
  <w15:commentEx w15:paraId="70CD0F8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SimSong Bold">
    <w:altName w:val="宋体"/>
    <w:panose1 w:val="02020300000000000000"/>
    <w:charset w:val="86"/>
    <w:family w:val="roman"/>
    <w:pitch w:val="default"/>
    <w:sig w:usb0="00000000" w:usb1="00000000" w:usb2="00000016" w:usb3="00000000" w:csb0="0004000D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A1BD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separate"/>
    </w:r>
    <w:r>
      <w:rPr>
        <w:rStyle w:val="37"/>
      </w:rPr>
      <w:t>7</w:t>
    </w:r>
    <w:r>
      <w:rPr>
        <w:rStyle w:val="37"/>
      </w:rPr>
      <w:fldChar w:fldCharType="end"/>
    </w:r>
  </w:p>
  <w:p w14:paraId="41A4C95C">
    <w:pPr>
      <w:pStyle w:val="22"/>
      <w:jc w:val="right"/>
      <w:rPr>
        <w:rFonts w:ascii="黑体" w:eastAsia="黑体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4A7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end"/>
    </w:r>
  </w:p>
  <w:p w14:paraId="1FDB495E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B993B">
    <w:pPr>
      <w:pStyle w:val="23"/>
      <w:jc w:val="left"/>
      <w:rPr>
        <w:rFonts w:hint="eastAsia" w:eastAsia="宋体"/>
        <w:lang w:eastAsia="zh-CN"/>
      </w:rPr>
    </w:pPr>
    <w:r>
      <w:rPr>
        <w:rFonts w:hint="eastAsia"/>
      </w:rPr>
      <w:t xml:space="preserve">       </w:t>
    </w:r>
    <w:r>
      <w:rPr>
        <w:rFonts w:hint="eastAsia" w:ascii="宋体" w:hAnsi="宋体"/>
        <w:kern w:val="0"/>
        <w:lang w:val="en-US" w:eastAsia="zh-CN"/>
      </w:rPr>
      <w:t xml:space="preserve">                   </w:t>
    </w:r>
    <w:r>
      <w:t xml:space="preserve">            </w:t>
    </w:r>
    <w:r>
      <w:rPr>
        <w:rFonts w:hint="eastAsia"/>
        <w:lang w:eastAsia="zh-CN"/>
      </w:rPr>
      <w:t>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C12C">
    <w:pPr>
      <w:pStyle w:val="23"/>
      <w:jc w:val="center"/>
    </w:pPr>
    <w:r>
      <w:rPr>
        <w:rFonts w:hint="eastAsia" w:eastAsia="宋体"/>
        <w:kern w:val="0"/>
        <w:sz w:val="21"/>
        <w:szCs w:val="21"/>
        <w:rtl w:val="0"/>
        <w:lang w:val="zh-TW" w:eastAsia="zh-TW"/>
      </w:rPr>
      <w:t>产品需求说明书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B3720"/>
    <w:multiLevelType w:val="singleLevel"/>
    <w:tmpl w:val="800B37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0ABEDCB"/>
    <w:multiLevelType w:val="singleLevel"/>
    <w:tmpl w:val="80ABED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571CAE1"/>
    <w:multiLevelType w:val="singleLevel"/>
    <w:tmpl w:val="8571CAE1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87510AF7"/>
    <w:multiLevelType w:val="singleLevel"/>
    <w:tmpl w:val="87510AF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879851ED"/>
    <w:multiLevelType w:val="singleLevel"/>
    <w:tmpl w:val="879851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8D45DF4B"/>
    <w:multiLevelType w:val="singleLevel"/>
    <w:tmpl w:val="8D45D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9495E657"/>
    <w:multiLevelType w:val="singleLevel"/>
    <w:tmpl w:val="9495E6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94D9F4B2"/>
    <w:multiLevelType w:val="singleLevel"/>
    <w:tmpl w:val="94D9F4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9A23C3AB"/>
    <w:multiLevelType w:val="singleLevel"/>
    <w:tmpl w:val="9A23C3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AE1349ED"/>
    <w:multiLevelType w:val="singleLevel"/>
    <w:tmpl w:val="AE1349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C1558F09"/>
    <w:multiLevelType w:val="singleLevel"/>
    <w:tmpl w:val="C1558F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C92D8CA7"/>
    <w:multiLevelType w:val="singleLevel"/>
    <w:tmpl w:val="C92D8C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D25A0D83"/>
    <w:multiLevelType w:val="singleLevel"/>
    <w:tmpl w:val="D25A0D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DE14E4CD"/>
    <w:multiLevelType w:val="singleLevel"/>
    <w:tmpl w:val="DE14E4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DEAD8CAB"/>
    <w:multiLevelType w:val="singleLevel"/>
    <w:tmpl w:val="DEAD8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4517434"/>
    <w:multiLevelType w:val="singleLevel"/>
    <w:tmpl w:val="E45174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44C8AD2"/>
    <w:multiLevelType w:val="singleLevel"/>
    <w:tmpl w:val="F44C8A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F5902EC6"/>
    <w:multiLevelType w:val="singleLevel"/>
    <w:tmpl w:val="F5902E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FCF71523"/>
    <w:multiLevelType w:val="singleLevel"/>
    <w:tmpl w:val="FCF71523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0AE9EA0B"/>
    <w:multiLevelType w:val="singleLevel"/>
    <w:tmpl w:val="0AE9EA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0C137461"/>
    <w:multiLevelType w:val="singleLevel"/>
    <w:tmpl w:val="0C1374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0E480F8C"/>
    <w:multiLevelType w:val="singleLevel"/>
    <w:tmpl w:val="0E480F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13751E23"/>
    <w:multiLevelType w:val="singleLevel"/>
    <w:tmpl w:val="13751E23"/>
    <w:lvl w:ilvl="0" w:tentative="0">
      <w:start w:val="1"/>
      <w:numFmt w:val="decimal"/>
      <w:suff w:val="nothing"/>
      <w:lvlText w:val="%1）"/>
      <w:lvlJc w:val="left"/>
    </w:lvl>
  </w:abstractNum>
  <w:abstractNum w:abstractNumId="23">
    <w:nsid w:val="16D30311"/>
    <w:multiLevelType w:val="singleLevel"/>
    <w:tmpl w:val="16D303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199B142A"/>
    <w:multiLevelType w:val="singleLevel"/>
    <w:tmpl w:val="199B14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2266098A"/>
    <w:multiLevelType w:val="singleLevel"/>
    <w:tmpl w:val="226609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412341FA"/>
    <w:multiLevelType w:val="singleLevel"/>
    <w:tmpl w:val="412341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43DF2EF3"/>
    <w:multiLevelType w:val="singleLevel"/>
    <w:tmpl w:val="43DF2E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4B50AF50"/>
    <w:multiLevelType w:val="singleLevel"/>
    <w:tmpl w:val="4B50AF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4F9B836B"/>
    <w:multiLevelType w:val="singleLevel"/>
    <w:tmpl w:val="4F9B83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52C64C5D"/>
    <w:multiLevelType w:val="singleLevel"/>
    <w:tmpl w:val="52C64C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5FCE873F"/>
    <w:multiLevelType w:val="singleLevel"/>
    <w:tmpl w:val="5FCE87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729B2B9A"/>
    <w:multiLevelType w:val="multilevel"/>
    <w:tmpl w:val="729B2B9A"/>
    <w:lvl w:ilvl="0" w:tentative="0">
      <w:start w:val="1"/>
      <w:numFmt w:val="none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3">
    <w:nsid w:val="7E30C428"/>
    <w:multiLevelType w:val="singleLevel"/>
    <w:tmpl w:val="7E30C4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2"/>
  </w:num>
  <w:num w:numId="2">
    <w:abstractNumId w:val="28"/>
  </w:num>
  <w:num w:numId="3">
    <w:abstractNumId w:val="3"/>
  </w:num>
  <w:num w:numId="4">
    <w:abstractNumId w:val="11"/>
  </w:num>
  <w:num w:numId="5">
    <w:abstractNumId w:val="6"/>
  </w:num>
  <w:num w:numId="6">
    <w:abstractNumId w:val="18"/>
  </w:num>
  <w:num w:numId="7">
    <w:abstractNumId w:val="21"/>
  </w:num>
  <w:num w:numId="8">
    <w:abstractNumId w:val="12"/>
  </w:num>
  <w:num w:numId="9">
    <w:abstractNumId w:val="10"/>
  </w:num>
  <w:num w:numId="10">
    <w:abstractNumId w:val="4"/>
  </w:num>
  <w:num w:numId="11">
    <w:abstractNumId w:val="22"/>
  </w:num>
  <w:num w:numId="12">
    <w:abstractNumId w:val="13"/>
  </w:num>
  <w:num w:numId="13">
    <w:abstractNumId w:val="17"/>
  </w:num>
  <w:num w:numId="14">
    <w:abstractNumId w:val="7"/>
  </w:num>
  <w:num w:numId="15">
    <w:abstractNumId w:val="19"/>
  </w:num>
  <w:num w:numId="16">
    <w:abstractNumId w:val="15"/>
  </w:num>
  <w:num w:numId="17">
    <w:abstractNumId w:val="29"/>
  </w:num>
  <w:num w:numId="18">
    <w:abstractNumId w:val="9"/>
  </w:num>
  <w:num w:numId="19">
    <w:abstractNumId w:val="23"/>
  </w:num>
  <w:num w:numId="20">
    <w:abstractNumId w:val="20"/>
  </w:num>
  <w:num w:numId="21">
    <w:abstractNumId w:val="26"/>
  </w:num>
  <w:num w:numId="22">
    <w:abstractNumId w:val="14"/>
  </w:num>
  <w:num w:numId="23">
    <w:abstractNumId w:val="25"/>
  </w:num>
  <w:num w:numId="24">
    <w:abstractNumId w:val="24"/>
  </w:num>
  <w:num w:numId="25">
    <w:abstractNumId w:val="8"/>
  </w:num>
  <w:num w:numId="26">
    <w:abstractNumId w:val="31"/>
  </w:num>
  <w:num w:numId="27">
    <w:abstractNumId w:val="2"/>
  </w:num>
  <w:num w:numId="28">
    <w:abstractNumId w:val="16"/>
  </w:num>
  <w:num w:numId="29">
    <w:abstractNumId w:val="0"/>
  </w:num>
  <w:num w:numId="30">
    <w:abstractNumId w:val="1"/>
  </w:num>
  <w:num w:numId="31">
    <w:abstractNumId w:val="30"/>
  </w:num>
  <w:num w:numId="32">
    <w:abstractNumId w:val="33"/>
  </w:num>
  <w:num w:numId="33">
    <w:abstractNumId w:val="27"/>
  </w:num>
  <w:num w:numId="34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颖ʘᴗʘ">
    <w15:presenceInfo w15:providerId="WPS Office" w15:userId="1882718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wZDM5MTQxYzlkNDFlZjI3MDlkMGNlNjY3NmM0M2QifQ=="/>
  </w:docVars>
  <w:rsids>
    <w:rsidRoot w:val="00594D33"/>
    <w:rsid w:val="0000140A"/>
    <w:rsid w:val="00014ADD"/>
    <w:rsid w:val="000168BC"/>
    <w:rsid w:val="00026937"/>
    <w:rsid w:val="00035F8E"/>
    <w:rsid w:val="000408F6"/>
    <w:rsid w:val="00046EA7"/>
    <w:rsid w:val="00055CB3"/>
    <w:rsid w:val="00056F83"/>
    <w:rsid w:val="00063225"/>
    <w:rsid w:val="00063478"/>
    <w:rsid w:val="00066E16"/>
    <w:rsid w:val="000741C7"/>
    <w:rsid w:val="000759A4"/>
    <w:rsid w:val="00080CBF"/>
    <w:rsid w:val="000815D3"/>
    <w:rsid w:val="00084E19"/>
    <w:rsid w:val="000C52A2"/>
    <w:rsid w:val="000E0850"/>
    <w:rsid w:val="000E392E"/>
    <w:rsid w:val="000E59F6"/>
    <w:rsid w:val="000F1086"/>
    <w:rsid w:val="001220B7"/>
    <w:rsid w:val="00132A87"/>
    <w:rsid w:val="00134903"/>
    <w:rsid w:val="00146283"/>
    <w:rsid w:val="00152494"/>
    <w:rsid w:val="00164700"/>
    <w:rsid w:val="001720AE"/>
    <w:rsid w:val="00181CA0"/>
    <w:rsid w:val="001829E5"/>
    <w:rsid w:val="001952C5"/>
    <w:rsid w:val="001A6915"/>
    <w:rsid w:val="001C6408"/>
    <w:rsid w:val="00221F18"/>
    <w:rsid w:val="00230BA0"/>
    <w:rsid w:val="002311D3"/>
    <w:rsid w:val="00241901"/>
    <w:rsid w:val="002569F2"/>
    <w:rsid w:val="002579F0"/>
    <w:rsid w:val="00271935"/>
    <w:rsid w:val="00284A7E"/>
    <w:rsid w:val="00284F43"/>
    <w:rsid w:val="002A021C"/>
    <w:rsid w:val="002A2C3C"/>
    <w:rsid w:val="002A6BE3"/>
    <w:rsid w:val="002B2782"/>
    <w:rsid w:val="002C1BE0"/>
    <w:rsid w:val="002C2F37"/>
    <w:rsid w:val="002D3275"/>
    <w:rsid w:val="002E1D74"/>
    <w:rsid w:val="002E7848"/>
    <w:rsid w:val="002E79A1"/>
    <w:rsid w:val="002F65D6"/>
    <w:rsid w:val="00300C8D"/>
    <w:rsid w:val="00314EB2"/>
    <w:rsid w:val="0035402A"/>
    <w:rsid w:val="003612AD"/>
    <w:rsid w:val="00365C44"/>
    <w:rsid w:val="00365FBA"/>
    <w:rsid w:val="00381EEA"/>
    <w:rsid w:val="00384114"/>
    <w:rsid w:val="00396EAB"/>
    <w:rsid w:val="003A22F0"/>
    <w:rsid w:val="003B2583"/>
    <w:rsid w:val="003B3685"/>
    <w:rsid w:val="003C385A"/>
    <w:rsid w:val="003D2D81"/>
    <w:rsid w:val="003D5A30"/>
    <w:rsid w:val="003D701C"/>
    <w:rsid w:val="003D79C4"/>
    <w:rsid w:val="003E05E7"/>
    <w:rsid w:val="003F4C7E"/>
    <w:rsid w:val="003F7BAA"/>
    <w:rsid w:val="00435916"/>
    <w:rsid w:val="00440399"/>
    <w:rsid w:val="004430D5"/>
    <w:rsid w:val="00452F30"/>
    <w:rsid w:val="00463786"/>
    <w:rsid w:val="0046669B"/>
    <w:rsid w:val="00470C3E"/>
    <w:rsid w:val="0048009E"/>
    <w:rsid w:val="00481486"/>
    <w:rsid w:val="004A0C61"/>
    <w:rsid w:val="004A5F86"/>
    <w:rsid w:val="004C27B6"/>
    <w:rsid w:val="004C50C1"/>
    <w:rsid w:val="004E0863"/>
    <w:rsid w:val="004E6E24"/>
    <w:rsid w:val="00500EBE"/>
    <w:rsid w:val="00507E55"/>
    <w:rsid w:val="00510E1C"/>
    <w:rsid w:val="00533E59"/>
    <w:rsid w:val="00534477"/>
    <w:rsid w:val="005427B1"/>
    <w:rsid w:val="0055290F"/>
    <w:rsid w:val="00560427"/>
    <w:rsid w:val="005855A9"/>
    <w:rsid w:val="005860AD"/>
    <w:rsid w:val="00592F08"/>
    <w:rsid w:val="00594D33"/>
    <w:rsid w:val="005954BF"/>
    <w:rsid w:val="00596C92"/>
    <w:rsid w:val="005C29C6"/>
    <w:rsid w:val="005C379B"/>
    <w:rsid w:val="005E3AC4"/>
    <w:rsid w:val="005E46D5"/>
    <w:rsid w:val="00620FC8"/>
    <w:rsid w:val="00623D11"/>
    <w:rsid w:val="00625C07"/>
    <w:rsid w:val="00625C83"/>
    <w:rsid w:val="00632535"/>
    <w:rsid w:val="00641C7C"/>
    <w:rsid w:val="0064765B"/>
    <w:rsid w:val="00662060"/>
    <w:rsid w:val="0066776C"/>
    <w:rsid w:val="00667D66"/>
    <w:rsid w:val="006760DE"/>
    <w:rsid w:val="00693892"/>
    <w:rsid w:val="006A4F2E"/>
    <w:rsid w:val="006C3D6F"/>
    <w:rsid w:val="006C68CC"/>
    <w:rsid w:val="006E1B11"/>
    <w:rsid w:val="006E4881"/>
    <w:rsid w:val="0070740B"/>
    <w:rsid w:val="0072321B"/>
    <w:rsid w:val="00752A77"/>
    <w:rsid w:val="00754280"/>
    <w:rsid w:val="00772428"/>
    <w:rsid w:val="00774FC1"/>
    <w:rsid w:val="00776D45"/>
    <w:rsid w:val="00777C36"/>
    <w:rsid w:val="00783657"/>
    <w:rsid w:val="00792522"/>
    <w:rsid w:val="007A29D2"/>
    <w:rsid w:val="007A4478"/>
    <w:rsid w:val="007A4E31"/>
    <w:rsid w:val="007B0C41"/>
    <w:rsid w:val="007B7685"/>
    <w:rsid w:val="007B7D7B"/>
    <w:rsid w:val="007D08B9"/>
    <w:rsid w:val="007F4E6F"/>
    <w:rsid w:val="0083267C"/>
    <w:rsid w:val="00840A52"/>
    <w:rsid w:val="00890C73"/>
    <w:rsid w:val="008A47B3"/>
    <w:rsid w:val="008A4EF5"/>
    <w:rsid w:val="008A74A0"/>
    <w:rsid w:val="008A7C89"/>
    <w:rsid w:val="008B1A8D"/>
    <w:rsid w:val="008C14CE"/>
    <w:rsid w:val="008D770A"/>
    <w:rsid w:val="008E3094"/>
    <w:rsid w:val="008F6D12"/>
    <w:rsid w:val="00917414"/>
    <w:rsid w:val="00923623"/>
    <w:rsid w:val="00924C25"/>
    <w:rsid w:val="00933A63"/>
    <w:rsid w:val="009362B0"/>
    <w:rsid w:val="00941AD8"/>
    <w:rsid w:val="00943C3E"/>
    <w:rsid w:val="00944789"/>
    <w:rsid w:val="00944D20"/>
    <w:rsid w:val="00946963"/>
    <w:rsid w:val="00967189"/>
    <w:rsid w:val="00984C2F"/>
    <w:rsid w:val="00985C23"/>
    <w:rsid w:val="00985DDF"/>
    <w:rsid w:val="00992BA3"/>
    <w:rsid w:val="009C0438"/>
    <w:rsid w:val="009C5468"/>
    <w:rsid w:val="009E59F2"/>
    <w:rsid w:val="009F50EA"/>
    <w:rsid w:val="00A105C8"/>
    <w:rsid w:val="00A12980"/>
    <w:rsid w:val="00A13ADB"/>
    <w:rsid w:val="00A32F2F"/>
    <w:rsid w:val="00A34122"/>
    <w:rsid w:val="00A35700"/>
    <w:rsid w:val="00A3729D"/>
    <w:rsid w:val="00A431D5"/>
    <w:rsid w:val="00A451D4"/>
    <w:rsid w:val="00A462C4"/>
    <w:rsid w:val="00A52C47"/>
    <w:rsid w:val="00A53EA1"/>
    <w:rsid w:val="00A83495"/>
    <w:rsid w:val="00AC0B91"/>
    <w:rsid w:val="00AC15E3"/>
    <w:rsid w:val="00AE1F3C"/>
    <w:rsid w:val="00AF0AB4"/>
    <w:rsid w:val="00AF1ADB"/>
    <w:rsid w:val="00B079F9"/>
    <w:rsid w:val="00B11F76"/>
    <w:rsid w:val="00B13409"/>
    <w:rsid w:val="00B218EE"/>
    <w:rsid w:val="00B41619"/>
    <w:rsid w:val="00B4285F"/>
    <w:rsid w:val="00B52001"/>
    <w:rsid w:val="00B52987"/>
    <w:rsid w:val="00B70752"/>
    <w:rsid w:val="00B70FC2"/>
    <w:rsid w:val="00B74A0A"/>
    <w:rsid w:val="00B766F6"/>
    <w:rsid w:val="00B76F30"/>
    <w:rsid w:val="00B81E25"/>
    <w:rsid w:val="00BD1A99"/>
    <w:rsid w:val="00BD4843"/>
    <w:rsid w:val="00BF054D"/>
    <w:rsid w:val="00BF3DD0"/>
    <w:rsid w:val="00C0484C"/>
    <w:rsid w:val="00C122EC"/>
    <w:rsid w:val="00C21A29"/>
    <w:rsid w:val="00C221D2"/>
    <w:rsid w:val="00C244C0"/>
    <w:rsid w:val="00C27D96"/>
    <w:rsid w:val="00C340A2"/>
    <w:rsid w:val="00C35FE6"/>
    <w:rsid w:val="00C43EF9"/>
    <w:rsid w:val="00C46822"/>
    <w:rsid w:val="00C87C5D"/>
    <w:rsid w:val="00C9059B"/>
    <w:rsid w:val="00C964F3"/>
    <w:rsid w:val="00CB48BD"/>
    <w:rsid w:val="00CB55B9"/>
    <w:rsid w:val="00CC158C"/>
    <w:rsid w:val="00CD4E95"/>
    <w:rsid w:val="00D07397"/>
    <w:rsid w:val="00D47325"/>
    <w:rsid w:val="00D504B9"/>
    <w:rsid w:val="00D50CFC"/>
    <w:rsid w:val="00D55E50"/>
    <w:rsid w:val="00D567B9"/>
    <w:rsid w:val="00D64B84"/>
    <w:rsid w:val="00D73386"/>
    <w:rsid w:val="00D77151"/>
    <w:rsid w:val="00D85F35"/>
    <w:rsid w:val="00D900BA"/>
    <w:rsid w:val="00DA7E43"/>
    <w:rsid w:val="00DB52C3"/>
    <w:rsid w:val="00DE14A5"/>
    <w:rsid w:val="00E01531"/>
    <w:rsid w:val="00E0431F"/>
    <w:rsid w:val="00E1033B"/>
    <w:rsid w:val="00E10C13"/>
    <w:rsid w:val="00E17AEA"/>
    <w:rsid w:val="00E35400"/>
    <w:rsid w:val="00E369AC"/>
    <w:rsid w:val="00E507D8"/>
    <w:rsid w:val="00E5201D"/>
    <w:rsid w:val="00E56C30"/>
    <w:rsid w:val="00E76870"/>
    <w:rsid w:val="00E76987"/>
    <w:rsid w:val="00E901C1"/>
    <w:rsid w:val="00EA393F"/>
    <w:rsid w:val="00EB6CC1"/>
    <w:rsid w:val="00ED7B1E"/>
    <w:rsid w:val="00EE4EDF"/>
    <w:rsid w:val="00F051D2"/>
    <w:rsid w:val="00F15301"/>
    <w:rsid w:val="00F16215"/>
    <w:rsid w:val="00F35A3A"/>
    <w:rsid w:val="00F57DD9"/>
    <w:rsid w:val="00F875AF"/>
    <w:rsid w:val="00FB21C1"/>
    <w:rsid w:val="00FB2B59"/>
    <w:rsid w:val="00FB40AE"/>
    <w:rsid w:val="00FB486D"/>
    <w:rsid w:val="00FC2618"/>
    <w:rsid w:val="00FD7CDA"/>
    <w:rsid w:val="00FF0B6E"/>
    <w:rsid w:val="00FF2809"/>
    <w:rsid w:val="014D28C9"/>
    <w:rsid w:val="015C0D85"/>
    <w:rsid w:val="018F3359"/>
    <w:rsid w:val="02672F4B"/>
    <w:rsid w:val="02783976"/>
    <w:rsid w:val="029F5A47"/>
    <w:rsid w:val="029F663A"/>
    <w:rsid w:val="030506AF"/>
    <w:rsid w:val="030555C0"/>
    <w:rsid w:val="037C0EE9"/>
    <w:rsid w:val="038E26A7"/>
    <w:rsid w:val="03FE65F5"/>
    <w:rsid w:val="043C2B5E"/>
    <w:rsid w:val="04CB69EF"/>
    <w:rsid w:val="04E24CCF"/>
    <w:rsid w:val="053344C6"/>
    <w:rsid w:val="05481AD6"/>
    <w:rsid w:val="054A0A71"/>
    <w:rsid w:val="05B338B0"/>
    <w:rsid w:val="05C54F49"/>
    <w:rsid w:val="05CD0926"/>
    <w:rsid w:val="0600615C"/>
    <w:rsid w:val="067A2C8C"/>
    <w:rsid w:val="06DD1E44"/>
    <w:rsid w:val="0708351A"/>
    <w:rsid w:val="07245E7A"/>
    <w:rsid w:val="07AF71C6"/>
    <w:rsid w:val="07F95559"/>
    <w:rsid w:val="086C1887"/>
    <w:rsid w:val="088E6236"/>
    <w:rsid w:val="089F0F5F"/>
    <w:rsid w:val="08AF79C5"/>
    <w:rsid w:val="08D13DE0"/>
    <w:rsid w:val="09067F2D"/>
    <w:rsid w:val="092D3B3A"/>
    <w:rsid w:val="09714747"/>
    <w:rsid w:val="09A33BD7"/>
    <w:rsid w:val="09B0617D"/>
    <w:rsid w:val="09DA6CC4"/>
    <w:rsid w:val="0A195DFB"/>
    <w:rsid w:val="0A957010"/>
    <w:rsid w:val="0B00769A"/>
    <w:rsid w:val="0B0C7351"/>
    <w:rsid w:val="0B8C1969"/>
    <w:rsid w:val="0C83531D"/>
    <w:rsid w:val="0C935725"/>
    <w:rsid w:val="0D611D61"/>
    <w:rsid w:val="0D6C2329"/>
    <w:rsid w:val="0DB11E85"/>
    <w:rsid w:val="0E0D2BB5"/>
    <w:rsid w:val="0F5A4B2F"/>
    <w:rsid w:val="0F6F5D3F"/>
    <w:rsid w:val="0F90172D"/>
    <w:rsid w:val="0FA7589A"/>
    <w:rsid w:val="0FCB127F"/>
    <w:rsid w:val="10CB004C"/>
    <w:rsid w:val="110A7E8F"/>
    <w:rsid w:val="11717F0E"/>
    <w:rsid w:val="118D623C"/>
    <w:rsid w:val="11CE1648"/>
    <w:rsid w:val="12211934"/>
    <w:rsid w:val="127001C5"/>
    <w:rsid w:val="12BD2088"/>
    <w:rsid w:val="12EE5303"/>
    <w:rsid w:val="131F78BC"/>
    <w:rsid w:val="134B06D4"/>
    <w:rsid w:val="13A107F6"/>
    <w:rsid w:val="13AB43FB"/>
    <w:rsid w:val="13C7475D"/>
    <w:rsid w:val="143349D7"/>
    <w:rsid w:val="14741FA9"/>
    <w:rsid w:val="14776E55"/>
    <w:rsid w:val="14A53CE6"/>
    <w:rsid w:val="14D20FD1"/>
    <w:rsid w:val="14F92D85"/>
    <w:rsid w:val="15115C90"/>
    <w:rsid w:val="15864359"/>
    <w:rsid w:val="15B65E9C"/>
    <w:rsid w:val="15F22707"/>
    <w:rsid w:val="16556050"/>
    <w:rsid w:val="1662258B"/>
    <w:rsid w:val="16AD7C3A"/>
    <w:rsid w:val="16CA3377"/>
    <w:rsid w:val="1730666E"/>
    <w:rsid w:val="176D73C9"/>
    <w:rsid w:val="17902F0F"/>
    <w:rsid w:val="179E26FC"/>
    <w:rsid w:val="17A462A1"/>
    <w:rsid w:val="17AE2E2B"/>
    <w:rsid w:val="17B9357F"/>
    <w:rsid w:val="18E436BB"/>
    <w:rsid w:val="1901183B"/>
    <w:rsid w:val="19121FD6"/>
    <w:rsid w:val="198F3627"/>
    <w:rsid w:val="19BB441C"/>
    <w:rsid w:val="1A5963CC"/>
    <w:rsid w:val="1A6C711B"/>
    <w:rsid w:val="1B0C2B11"/>
    <w:rsid w:val="1B8227E1"/>
    <w:rsid w:val="1B830F69"/>
    <w:rsid w:val="1BAE7C15"/>
    <w:rsid w:val="1C2E0A56"/>
    <w:rsid w:val="1CA27B15"/>
    <w:rsid w:val="1CB10567"/>
    <w:rsid w:val="1CB31758"/>
    <w:rsid w:val="1CF10155"/>
    <w:rsid w:val="1D102CD1"/>
    <w:rsid w:val="1D2F7357"/>
    <w:rsid w:val="1DC35F95"/>
    <w:rsid w:val="1DF12489"/>
    <w:rsid w:val="1DF63C75"/>
    <w:rsid w:val="1E01086B"/>
    <w:rsid w:val="1E960FB4"/>
    <w:rsid w:val="1ECB3009"/>
    <w:rsid w:val="1EDA07E2"/>
    <w:rsid w:val="1EDF0BAD"/>
    <w:rsid w:val="1EEE073F"/>
    <w:rsid w:val="1F376E20"/>
    <w:rsid w:val="1F6C6B8C"/>
    <w:rsid w:val="1FC41B50"/>
    <w:rsid w:val="1FD941DA"/>
    <w:rsid w:val="1FF143FE"/>
    <w:rsid w:val="202650BB"/>
    <w:rsid w:val="203A7FAE"/>
    <w:rsid w:val="205C5ED0"/>
    <w:rsid w:val="20996921"/>
    <w:rsid w:val="215F4F10"/>
    <w:rsid w:val="216931DD"/>
    <w:rsid w:val="22342FBD"/>
    <w:rsid w:val="226A4C6D"/>
    <w:rsid w:val="22BA6370"/>
    <w:rsid w:val="22CF0F38"/>
    <w:rsid w:val="231D30DF"/>
    <w:rsid w:val="238535D5"/>
    <w:rsid w:val="23A202CD"/>
    <w:rsid w:val="23DB30CC"/>
    <w:rsid w:val="244250D8"/>
    <w:rsid w:val="2443152B"/>
    <w:rsid w:val="244914A4"/>
    <w:rsid w:val="24567E0D"/>
    <w:rsid w:val="24882100"/>
    <w:rsid w:val="24A62FA9"/>
    <w:rsid w:val="25146FAB"/>
    <w:rsid w:val="25393E1E"/>
    <w:rsid w:val="253A0784"/>
    <w:rsid w:val="2557411B"/>
    <w:rsid w:val="257F09F3"/>
    <w:rsid w:val="258D0037"/>
    <w:rsid w:val="25900E53"/>
    <w:rsid w:val="25D32AED"/>
    <w:rsid w:val="26871EEF"/>
    <w:rsid w:val="26C959C4"/>
    <w:rsid w:val="271E5CD6"/>
    <w:rsid w:val="272C4BAB"/>
    <w:rsid w:val="27AA07FB"/>
    <w:rsid w:val="2804217C"/>
    <w:rsid w:val="281F281F"/>
    <w:rsid w:val="28374829"/>
    <w:rsid w:val="284A1E00"/>
    <w:rsid w:val="286E68DE"/>
    <w:rsid w:val="28722A91"/>
    <w:rsid w:val="28AA3FD9"/>
    <w:rsid w:val="291E53B5"/>
    <w:rsid w:val="29275D33"/>
    <w:rsid w:val="294E0A08"/>
    <w:rsid w:val="2981123C"/>
    <w:rsid w:val="29D11D55"/>
    <w:rsid w:val="29E74948"/>
    <w:rsid w:val="2A330078"/>
    <w:rsid w:val="2A3C7526"/>
    <w:rsid w:val="2A82293A"/>
    <w:rsid w:val="2A9570C5"/>
    <w:rsid w:val="2A9A007E"/>
    <w:rsid w:val="2AA27307"/>
    <w:rsid w:val="2B047C86"/>
    <w:rsid w:val="2B195446"/>
    <w:rsid w:val="2B3A6011"/>
    <w:rsid w:val="2B5C4B88"/>
    <w:rsid w:val="2B674A91"/>
    <w:rsid w:val="2B895FC1"/>
    <w:rsid w:val="2B9B40AD"/>
    <w:rsid w:val="2BE27F2E"/>
    <w:rsid w:val="2BF3200A"/>
    <w:rsid w:val="2C0A4D8F"/>
    <w:rsid w:val="2C233B0B"/>
    <w:rsid w:val="2C701B05"/>
    <w:rsid w:val="2CCA4879"/>
    <w:rsid w:val="2D2C2394"/>
    <w:rsid w:val="2D3306C4"/>
    <w:rsid w:val="2D413170"/>
    <w:rsid w:val="2D572256"/>
    <w:rsid w:val="2D594C1C"/>
    <w:rsid w:val="2D676CDC"/>
    <w:rsid w:val="2DEF06E0"/>
    <w:rsid w:val="2DF14458"/>
    <w:rsid w:val="2E2B0B49"/>
    <w:rsid w:val="2E4E2132"/>
    <w:rsid w:val="2E5774A9"/>
    <w:rsid w:val="2E7A24CB"/>
    <w:rsid w:val="2F2B4755"/>
    <w:rsid w:val="2F956846"/>
    <w:rsid w:val="2FA95E01"/>
    <w:rsid w:val="2FBB034A"/>
    <w:rsid w:val="2FD22068"/>
    <w:rsid w:val="2FD62F3F"/>
    <w:rsid w:val="2FEC019D"/>
    <w:rsid w:val="30054C8E"/>
    <w:rsid w:val="301E705B"/>
    <w:rsid w:val="30374744"/>
    <w:rsid w:val="305A5F0C"/>
    <w:rsid w:val="30627082"/>
    <w:rsid w:val="30AE1255"/>
    <w:rsid w:val="310B3B52"/>
    <w:rsid w:val="311A7038"/>
    <w:rsid w:val="315174A9"/>
    <w:rsid w:val="318019D6"/>
    <w:rsid w:val="31AF554F"/>
    <w:rsid w:val="32111897"/>
    <w:rsid w:val="32770033"/>
    <w:rsid w:val="32D53636"/>
    <w:rsid w:val="32DC7485"/>
    <w:rsid w:val="32EE540A"/>
    <w:rsid w:val="3316488E"/>
    <w:rsid w:val="331A1D5C"/>
    <w:rsid w:val="33B128BA"/>
    <w:rsid w:val="33F678D7"/>
    <w:rsid w:val="340F49D1"/>
    <w:rsid w:val="34237336"/>
    <w:rsid w:val="343B7960"/>
    <w:rsid w:val="34447223"/>
    <w:rsid w:val="346A0AC1"/>
    <w:rsid w:val="34735BC7"/>
    <w:rsid w:val="347943E5"/>
    <w:rsid w:val="348C2862"/>
    <w:rsid w:val="34C46423"/>
    <w:rsid w:val="34DA1B5C"/>
    <w:rsid w:val="34E12D80"/>
    <w:rsid w:val="35066A3B"/>
    <w:rsid w:val="35B9585C"/>
    <w:rsid w:val="35C3492C"/>
    <w:rsid w:val="35FE5964"/>
    <w:rsid w:val="3619279E"/>
    <w:rsid w:val="364F40D2"/>
    <w:rsid w:val="36586E08"/>
    <w:rsid w:val="366576AA"/>
    <w:rsid w:val="36F8373D"/>
    <w:rsid w:val="36FF3AD9"/>
    <w:rsid w:val="37086BBA"/>
    <w:rsid w:val="37865F13"/>
    <w:rsid w:val="3795529C"/>
    <w:rsid w:val="379B73DF"/>
    <w:rsid w:val="37AE5168"/>
    <w:rsid w:val="37C373ED"/>
    <w:rsid w:val="37F55FE4"/>
    <w:rsid w:val="38273122"/>
    <w:rsid w:val="38B83E22"/>
    <w:rsid w:val="399F120C"/>
    <w:rsid w:val="3A120FC7"/>
    <w:rsid w:val="3A4C28DB"/>
    <w:rsid w:val="3B084B8F"/>
    <w:rsid w:val="3B225C51"/>
    <w:rsid w:val="3B4D736E"/>
    <w:rsid w:val="3B800CEA"/>
    <w:rsid w:val="3B9F3D18"/>
    <w:rsid w:val="3C15560C"/>
    <w:rsid w:val="3C157564"/>
    <w:rsid w:val="3C1F7768"/>
    <w:rsid w:val="3C3B5BC6"/>
    <w:rsid w:val="3C5E3F9A"/>
    <w:rsid w:val="3C690AF6"/>
    <w:rsid w:val="3C746980"/>
    <w:rsid w:val="3CCB2319"/>
    <w:rsid w:val="3D567E34"/>
    <w:rsid w:val="3D765A60"/>
    <w:rsid w:val="3D8E75CE"/>
    <w:rsid w:val="3DE26697"/>
    <w:rsid w:val="3E244263"/>
    <w:rsid w:val="3E31748A"/>
    <w:rsid w:val="3E440523"/>
    <w:rsid w:val="3E612F34"/>
    <w:rsid w:val="3E73334C"/>
    <w:rsid w:val="3EA037AE"/>
    <w:rsid w:val="3F4A39C9"/>
    <w:rsid w:val="3F4C77F4"/>
    <w:rsid w:val="3F6E1604"/>
    <w:rsid w:val="3F8E10C6"/>
    <w:rsid w:val="3FC706CF"/>
    <w:rsid w:val="3FD507C3"/>
    <w:rsid w:val="40761890"/>
    <w:rsid w:val="409254D8"/>
    <w:rsid w:val="409E3FCC"/>
    <w:rsid w:val="40C1016A"/>
    <w:rsid w:val="41335D39"/>
    <w:rsid w:val="419A2BA7"/>
    <w:rsid w:val="41AD4111"/>
    <w:rsid w:val="41BE50D3"/>
    <w:rsid w:val="41DB5041"/>
    <w:rsid w:val="41E07D3E"/>
    <w:rsid w:val="42D24401"/>
    <w:rsid w:val="4312380D"/>
    <w:rsid w:val="432664FB"/>
    <w:rsid w:val="432A42D2"/>
    <w:rsid w:val="434B49E1"/>
    <w:rsid w:val="43617533"/>
    <w:rsid w:val="437D4956"/>
    <w:rsid w:val="44362ECE"/>
    <w:rsid w:val="4507315C"/>
    <w:rsid w:val="4563395F"/>
    <w:rsid w:val="45967968"/>
    <w:rsid w:val="45C2139F"/>
    <w:rsid w:val="46110879"/>
    <w:rsid w:val="462705C0"/>
    <w:rsid w:val="46454145"/>
    <w:rsid w:val="46510AB5"/>
    <w:rsid w:val="469B1E35"/>
    <w:rsid w:val="46AE0CE1"/>
    <w:rsid w:val="46F81F5C"/>
    <w:rsid w:val="47422AD1"/>
    <w:rsid w:val="477C4207"/>
    <w:rsid w:val="47C5711C"/>
    <w:rsid w:val="47D34DF8"/>
    <w:rsid w:val="47EF74AA"/>
    <w:rsid w:val="48605342"/>
    <w:rsid w:val="48831CF9"/>
    <w:rsid w:val="48AD51DE"/>
    <w:rsid w:val="49281E8A"/>
    <w:rsid w:val="49E014BA"/>
    <w:rsid w:val="4A113A61"/>
    <w:rsid w:val="4A227A1C"/>
    <w:rsid w:val="4A2C089A"/>
    <w:rsid w:val="4A6F21A6"/>
    <w:rsid w:val="4A7B6CEC"/>
    <w:rsid w:val="4A7F4946"/>
    <w:rsid w:val="4B7C7600"/>
    <w:rsid w:val="4BF11E64"/>
    <w:rsid w:val="4C304C0E"/>
    <w:rsid w:val="4C5B0A37"/>
    <w:rsid w:val="4CC4764D"/>
    <w:rsid w:val="4CD22F01"/>
    <w:rsid w:val="4D027691"/>
    <w:rsid w:val="4D032CCC"/>
    <w:rsid w:val="4D0C3E87"/>
    <w:rsid w:val="4D2910C1"/>
    <w:rsid w:val="4D581648"/>
    <w:rsid w:val="4DB637EB"/>
    <w:rsid w:val="4DBF5582"/>
    <w:rsid w:val="4DC756B9"/>
    <w:rsid w:val="4DD43B63"/>
    <w:rsid w:val="4DE01AC7"/>
    <w:rsid w:val="4E3715BC"/>
    <w:rsid w:val="4E571410"/>
    <w:rsid w:val="4ECF3EEA"/>
    <w:rsid w:val="4F0739D7"/>
    <w:rsid w:val="4F121DD0"/>
    <w:rsid w:val="4FE92CD6"/>
    <w:rsid w:val="51052535"/>
    <w:rsid w:val="5107101E"/>
    <w:rsid w:val="510D2AA8"/>
    <w:rsid w:val="517B2E25"/>
    <w:rsid w:val="51850F13"/>
    <w:rsid w:val="51971F5E"/>
    <w:rsid w:val="52135808"/>
    <w:rsid w:val="52240C11"/>
    <w:rsid w:val="529F6B22"/>
    <w:rsid w:val="52DC4C21"/>
    <w:rsid w:val="53E33203"/>
    <w:rsid w:val="540B4957"/>
    <w:rsid w:val="544D5142"/>
    <w:rsid w:val="54890E82"/>
    <w:rsid w:val="54A16650"/>
    <w:rsid w:val="550D3076"/>
    <w:rsid w:val="55211A05"/>
    <w:rsid w:val="55263A0D"/>
    <w:rsid w:val="55983288"/>
    <w:rsid w:val="55B14E8F"/>
    <w:rsid w:val="55F6462D"/>
    <w:rsid w:val="56933A4F"/>
    <w:rsid w:val="569357FD"/>
    <w:rsid w:val="571D0F95"/>
    <w:rsid w:val="574371F3"/>
    <w:rsid w:val="57716AB9"/>
    <w:rsid w:val="578735B4"/>
    <w:rsid w:val="57874DBC"/>
    <w:rsid w:val="57AD65EE"/>
    <w:rsid w:val="57B21DFD"/>
    <w:rsid w:val="57CA34A1"/>
    <w:rsid w:val="58083CDE"/>
    <w:rsid w:val="581A454B"/>
    <w:rsid w:val="58384CB8"/>
    <w:rsid w:val="589430D5"/>
    <w:rsid w:val="58DF4D2A"/>
    <w:rsid w:val="59275DC1"/>
    <w:rsid w:val="59756123"/>
    <w:rsid w:val="59A44D2D"/>
    <w:rsid w:val="5AA118AB"/>
    <w:rsid w:val="5B04316E"/>
    <w:rsid w:val="5B6702AB"/>
    <w:rsid w:val="5BC95B6B"/>
    <w:rsid w:val="5BE90EF8"/>
    <w:rsid w:val="5C27230A"/>
    <w:rsid w:val="5C6E089F"/>
    <w:rsid w:val="5C854316"/>
    <w:rsid w:val="5C875E04"/>
    <w:rsid w:val="5CF1327E"/>
    <w:rsid w:val="5CF8795F"/>
    <w:rsid w:val="5D0447D5"/>
    <w:rsid w:val="5D072AA1"/>
    <w:rsid w:val="5D5B4AEB"/>
    <w:rsid w:val="5DA362FB"/>
    <w:rsid w:val="5DB2384A"/>
    <w:rsid w:val="5DC8742A"/>
    <w:rsid w:val="5E960581"/>
    <w:rsid w:val="5EB719B1"/>
    <w:rsid w:val="5EE24DA6"/>
    <w:rsid w:val="5EEE5CC7"/>
    <w:rsid w:val="5F767659"/>
    <w:rsid w:val="5FC92639"/>
    <w:rsid w:val="5FE80D29"/>
    <w:rsid w:val="60392C69"/>
    <w:rsid w:val="608A1A1F"/>
    <w:rsid w:val="60BA3CEC"/>
    <w:rsid w:val="618943CD"/>
    <w:rsid w:val="61E32475"/>
    <w:rsid w:val="6232432E"/>
    <w:rsid w:val="624F46B3"/>
    <w:rsid w:val="629716CC"/>
    <w:rsid w:val="62A87DE0"/>
    <w:rsid w:val="62BF6F04"/>
    <w:rsid w:val="63351063"/>
    <w:rsid w:val="63651A22"/>
    <w:rsid w:val="63674583"/>
    <w:rsid w:val="63990580"/>
    <w:rsid w:val="63A6144B"/>
    <w:rsid w:val="63A64DC2"/>
    <w:rsid w:val="63B62A59"/>
    <w:rsid w:val="63F055AB"/>
    <w:rsid w:val="64275B5C"/>
    <w:rsid w:val="64737A5D"/>
    <w:rsid w:val="64852C29"/>
    <w:rsid w:val="64F4532F"/>
    <w:rsid w:val="65031979"/>
    <w:rsid w:val="650F45AE"/>
    <w:rsid w:val="652E2446"/>
    <w:rsid w:val="65563A90"/>
    <w:rsid w:val="657D7AF2"/>
    <w:rsid w:val="6589499B"/>
    <w:rsid w:val="65934364"/>
    <w:rsid w:val="65EB11B2"/>
    <w:rsid w:val="65EC1FCB"/>
    <w:rsid w:val="65ED5E76"/>
    <w:rsid w:val="66001B44"/>
    <w:rsid w:val="660918B0"/>
    <w:rsid w:val="668D482E"/>
    <w:rsid w:val="66DB6668"/>
    <w:rsid w:val="66FB5544"/>
    <w:rsid w:val="67661F8C"/>
    <w:rsid w:val="67AE1C77"/>
    <w:rsid w:val="67BF6452"/>
    <w:rsid w:val="67F75096"/>
    <w:rsid w:val="686139AD"/>
    <w:rsid w:val="68A33FD5"/>
    <w:rsid w:val="69045974"/>
    <w:rsid w:val="69074133"/>
    <w:rsid w:val="69391583"/>
    <w:rsid w:val="695232F6"/>
    <w:rsid w:val="69735746"/>
    <w:rsid w:val="69815AC9"/>
    <w:rsid w:val="69AB675B"/>
    <w:rsid w:val="6A321B28"/>
    <w:rsid w:val="6A771266"/>
    <w:rsid w:val="6AAE4B40"/>
    <w:rsid w:val="6B4725E4"/>
    <w:rsid w:val="6B696CD9"/>
    <w:rsid w:val="6B7F3390"/>
    <w:rsid w:val="6C4258A4"/>
    <w:rsid w:val="6C432C78"/>
    <w:rsid w:val="6C783074"/>
    <w:rsid w:val="6CA43E69"/>
    <w:rsid w:val="6D65397C"/>
    <w:rsid w:val="6DBB76BC"/>
    <w:rsid w:val="6DBE5CB9"/>
    <w:rsid w:val="6DC63EEA"/>
    <w:rsid w:val="6DF709A1"/>
    <w:rsid w:val="6E096B57"/>
    <w:rsid w:val="6E292877"/>
    <w:rsid w:val="6E7F45EB"/>
    <w:rsid w:val="6EDA6400"/>
    <w:rsid w:val="6EDF73DA"/>
    <w:rsid w:val="6EE64C0C"/>
    <w:rsid w:val="6F125A01"/>
    <w:rsid w:val="6F1B0712"/>
    <w:rsid w:val="6F4F624B"/>
    <w:rsid w:val="6F776C1C"/>
    <w:rsid w:val="6FC638CF"/>
    <w:rsid w:val="7000333A"/>
    <w:rsid w:val="703136BE"/>
    <w:rsid w:val="70355FEC"/>
    <w:rsid w:val="70C42D2B"/>
    <w:rsid w:val="70E1568B"/>
    <w:rsid w:val="710D0EA4"/>
    <w:rsid w:val="714C1CC5"/>
    <w:rsid w:val="71CF5DF0"/>
    <w:rsid w:val="71FE401B"/>
    <w:rsid w:val="721455EC"/>
    <w:rsid w:val="72510775"/>
    <w:rsid w:val="726B5F65"/>
    <w:rsid w:val="727052B0"/>
    <w:rsid w:val="72AB0743"/>
    <w:rsid w:val="72B74FF3"/>
    <w:rsid w:val="73352289"/>
    <w:rsid w:val="73A05E46"/>
    <w:rsid w:val="7416564C"/>
    <w:rsid w:val="746048BB"/>
    <w:rsid w:val="74963AD4"/>
    <w:rsid w:val="74A33BFA"/>
    <w:rsid w:val="74F82D7D"/>
    <w:rsid w:val="751D4246"/>
    <w:rsid w:val="75267B11"/>
    <w:rsid w:val="75295853"/>
    <w:rsid w:val="75707197"/>
    <w:rsid w:val="759A04FF"/>
    <w:rsid w:val="75EE03DC"/>
    <w:rsid w:val="7621477C"/>
    <w:rsid w:val="765F75BE"/>
    <w:rsid w:val="76A2375E"/>
    <w:rsid w:val="76C5219A"/>
    <w:rsid w:val="76FB3D8E"/>
    <w:rsid w:val="77057245"/>
    <w:rsid w:val="77100A78"/>
    <w:rsid w:val="7747515C"/>
    <w:rsid w:val="77980A6E"/>
    <w:rsid w:val="77997D8A"/>
    <w:rsid w:val="779C20DA"/>
    <w:rsid w:val="77E81E5F"/>
    <w:rsid w:val="77ED700C"/>
    <w:rsid w:val="77FA7033"/>
    <w:rsid w:val="77FB6923"/>
    <w:rsid w:val="780660FE"/>
    <w:rsid w:val="78673ACC"/>
    <w:rsid w:val="78755EE0"/>
    <w:rsid w:val="790A14F7"/>
    <w:rsid w:val="792E51E6"/>
    <w:rsid w:val="79CA77E7"/>
    <w:rsid w:val="79D02741"/>
    <w:rsid w:val="7AAF67FA"/>
    <w:rsid w:val="7B8E01BA"/>
    <w:rsid w:val="7B952FC6"/>
    <w:rsid w:val="7B9F23CB"/>
    <w:rsid w:val="7BB031FD"/>
    <w:rsid w:val="7BCC55C4"/>
    <w:rsid w:val="7BE16B3B"/>
    <w:rsid w:val="7C423E53"/>
    <w:rsid w:val="7C466493"/>
    <w:rsid w:val="7C5202D3"/>
    <w:rsid w:val="7C6D24C9"/>
    <w:rsid w:val="7CA103C5"/>
    <w:rsid w:val="7CAB4D9F"/>
    <w:rsid w:val="7D2A660C"/>
    <w:rsid w:val="7D3D4905"/>
    <w:rsid w:val="7D7635FF"/>
    <w:rsid w:val="7D853842"/>
    <w:rsid w:val="7D9F2B56"/>
    <w:rsid w:val="7DB67B7C"/>
    <w:rsid w:val="7DED28BD"/>
    <w:rsid w:val="7DF74740"/>
    <w:rsid w:val="7E1975DF"/>
    <w:rsid w:val="7E2748F9"/>
    <w:rsid w:val="7E8F7C86"/>
    <w:rsid w:val="7EA24DFC"/>
    <w:rsid w:val="7F9B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240" w:after="240" w:line="400" w:lineRule="atLeast"/>
      <w:jc w:val="center"/>
      <w:textAlignment w:val="baseline"/>
      <w:outlineLvl w:val="0"/>
    </w:pPr>
    <w:rPr>
      <w:rFonts w:eastAsia="黑体"/>
      <w:b/>
      <w:w w:val="120"/>
      <w:kern w:val="44"/>
      <w:sz w:val="36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adjustRightInd w:val="0"/>
      <w:spacing w:before="240" w:after="240" w:line="400" w:lineRule="atLeast"/>
      <w:jc w:val="left"/>
      <w:textAlignment w:val="baseline"/>
      <w:outlineLvl w:val="1"/>
    </w:pPr>
    <w:rPr>
      <w:rFonts w:eastAsia="黑体"/>
      <w:b/>
      <w:kern w:val="0"/>
      <w:sz w:val="36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djustRightInd w:val="0"/>
      <w:spacing w:before="120" w:line="416" w:lineRule="atLeast"/>
      <w:textAlignment w:val="baseline"/>
      <w:outlineLvl w:val="2"/>
    </w:pPr>
    <w:rPr>
      <w:rFonts w:eastAsia="黑体"/>
      <w:b/>
      <w:kern w:val="0"/>
      <w:sz w:val="32"/>
      <w:szCs w:val="2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adjustRightInd w:val="0"/>
      <w:spacing w:before="240" w:after="120" w:line="240" w:lineRule="atLeast"/>
      <w:textAlignment w:val="baseline"/>
      <w:outlineLvl w:val="3"/>
    </w:pPr>
    <w:rPr>
      <w:rFonts w:eastAsia="黑体"/>
      <w:b/>
      <w:kern w:val="0"/>
      <w:sz w:val="30"/>
      <w:szCs w:val="20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adjustRightInd w:val="0"/>
      <w:spacing w:before="280" w:after="290" w:line="376" w:lineRule="atLeast"/>
      <w:textAlignment w:val="baseline"/>
      <w:outlineLvl w:val="4"/>
    </w:pPr>
    <w:rPr>
      <w:rFonts w:eastAsia="黑体"/>
      <w:b/>
      <w:kern w:val="0"/>
      <w:sz w:val="28"/>
      <w:szCs w:val="20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adjustRightIn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kern w:val="0"/>
      <w:szCs w:val="20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20" w:lineRule="atLeast"/>
      <w:textAlignment w:val="baseline"/>
      <w:outlineLvl w:val="7"/>
    </w:pPr>
    <w:rPr>
      <w:rFonts w:ascii="Arial" w:hAnsi="Arial" w:eastAsia="黑体"/>
      <w:kern w:val="0"/>
      <w:szCs w:val="20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20" w:lineRule="atLeast"/>
      <w:textAlignment w:val="baseline"/>
      <w:outlineLvl w:val="8"/>
    </w:pPr>
    <w:rPr>
      <w:rFonts w:ascii="Arial" w:hAnsi="Arial" w:eastAsia="黑体"/>
      <w:kern w:val="0"/>
      <w:szCs w:val="20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rFonts w:eastAsia="微软雅黑"/>
      <w:kern w:val="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36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5">
    <w:name w:val="Body Text 3"/>
    <w:basedOn w:val="1"/>
    <w:qFormat/>
    <w:uiPriority w:val="0"/>
    <w:pPr>
      <w:jc w:val="center"/>
    </w:pPr>
  </w:style>
  <w:style w:type="paragraph" w:styleId="16">
    <w:name w:val="Body Text"/>
    <w:basedOn w:val="1"/>
    <w:qFormat/>
    <w:uiPriority w:val="0"/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80"/>
      <w:jc w:val="left"/>
    </w:pPr>
    <w:rPr>
      <w:rFonts w:asciiTheme="minorHAnsi" w:eastAsiaTheme="minorHAnsi"/>
      <w:i/>
      <w:iCs/>
      <w:sz w:val="22"/>
      <w:szCs w:val="22"/>
    </w:rPr>
  </w:style>
  <w:style w:type="paragraph" w:styleId="19">
    <w:name w:val="toc 8"/>
    <w:basedOn w:val="1"/>
    <w:next w:val="1"/>
    <w:semiHidden/>
    <w:qFormat/>
    <w:uiPriority w:val="0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0">
    <w:name w:val="Date"/>
    <w:basedOn w:val="1"/>
    <w:next w:val="1"/>
    <w:qFormat/>
    <w:uiPriority w:val="0"/>
    <w:pPr>
      <w:ind w:left="100" w:leftChars="2500"/>
    </w:pPr>
  </w:style>
  <w:style w:type="paragraph" w:styleId="21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semiHidden/>
    <w:qFormat/>
    <w:uiPriority w:val="0"/>
    <w:pPr>
      <w:spacing w:before="120"/>
      <w:jc w:val="left"/>
    </w:pPr>
    <w:rPr>
      <w:rFonts w:asciiTheme="minorHAnsi" w:eastAsiaTheme="minorHAnsi"/>
      <w:b/>
      <w:bCs/>
      <w:caps/>
      <w:sz w:val="22"/>
      <w:szCs w:val="22"/>
    </w:rPr>
  </w:style>
  <w:style w:type="paragraph" w:styleId="25">
    <w:name w:val="toc 4"/>
    <w:basedOn w:val="1"/>
    <w:next w:val="1"/>
    <w:semiHidden/>
    <w:qFormat/>
    <w:uiPriority w:val="0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link w:val="43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</w:rPr>
  </w:style>
  <w:style w:type="paragraph" w:styleId="27">
    <w:name w:val="toc 6"/>
    <w:basedOn w:val="1"/>
    <w:next w:val="1"/>
    <w:semiHidden/>
    <w:qFormat/>
    <w:uiPriority w:val="0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qFormat/>
    <w:uiPriority w:val="39"/>
    <w:pPr>
      <w:ind w:left="240"/>
      <w:jc w:val="left"/>
    </w:pPr>
    <w:rPr>
      <w:rFonts w:asciiTheme="minorHAnsi" w:eastAsiaTheme="minorHAnsi"/>
      <w:smallCaps/>
      <w:sz w:val="22"/>
      <w:szCs w:val="22"/>
    </w:rPr>
  </w:style>
  <w:style w:type="paragraph" w:styleId="29">
    <w:name w:val="toc 9"/>
    <w:basedOn w:val="1"/>
    <w:next w:val="1"/>
    <w:semiHidden/>
    <w:qFormat/>
    <w:uiPriority w:val="0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30">
    <w:name w:val="Body Text 2"/>
    <w:basedOn w:val="1"/>
    <w:qFormat/>
    <w:uiPriority w:val="0"/>
    <w:pPr>
      <w:jc w:val="center"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Body Text First Indent"/>
    <w:basedOn w:val="16"/>
    <w:qFormat/>
    <w:uiPriority w:val="0"/>
    <w:pPr>
      <w:spacing w:after="120"/>
      <w:ind w:firstLine="420" w:firstLineChars="100"/>
    </w:pPr>
    <w:rPr>
      <w:sz w:val="21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Emphasis"/>
    <w:basedOn w:val="35"/>
    <w:qFormat/>
    <w:uiPriority w:val="0"/>
    <w:rPr>
      <w:i/>
    </w:rPr>
  </w:style>
  <w:style w:type="character" w:styleId="39">
    <w:name w:val="Hyperlink"/>
    <w:basedOn w:val="35"/>
    <w:qFormat/>
    <w:uiPriority w:val="99"/>
    <w:rPr>
      <w:color w:val="0000FF"/>
      <w:u w:val="single"/>
    </w:rPr>
  </w:style>
  <w:style w:type="character" w:customStyle="1" w:styleId="40">
    <w:name w:val="已访问的超链接1"/>
    <w:basedOn w:val="35"/>
    <w:qFormat/>
    <w:uiPriority w:val="0"/>
    <w:rPr>
      <w:color w:val="800080"/>
      <w:u w:val="single"/>
    </w:rPr>
  </w:style>
  <w:style w:type="character" w:customStyle="1" w:styleId="41">
    <w:name w:val="页眉 字符"/>
    <w:basedOn w:val="35"/>
    <w:link w:val="23"/>
    <w:qFormat/>
    <w:uiPriority w:val="99"/>
    <w:rPr>
      <w:kern w:val="2"/>
      <w:sz w:val="18"/>
      <w:szCs w:val="18"/>
    </w:rPr>
  </w:style>
  <w:style w:type="character" w:customStyle="1" w:styleId="42">
    <w:name w:val="批注框文本 字符"/>
    <w:basedOn w:val="35"/>
    <w:link w:val="21"/>
    <w:qFormat/>
    <w:uiPriority w:val="0"/>
    <w:rPr>
      <w:kern w:val="2"/>
      <w:sz w:val="18"/>
      <w:szCs w:val="18"/>
    </w:rPr>
  </w:style>
  <w:style w:type="character" w:customStyle="1" w:styleId="43">
    <w:name w:val="副标题 字符"/>
    <w:basedOn w:val="35"/>
    <w:link w:val="26"/>
    <w:qFormat/>
    <w:uiPriority w:val="0"/>
    <w:rPr>
      <w:rFonts w:ascii="Arial" w:hAnsi="Arial" w:eastAsia="黑体"/>
      <w:b/>
      <w:kern w:val="2"/>
      <w:sz w:val="30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pageBreakBefore w:val="0"/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w w:val="100"/>
      <w:kern w:val="0"/>
      <w:sz w:val="28"/>
      <w:szCs w:val="28"/>
    </w:rPr>
  </w:style>
  <w:style w:type="character" w:customStyle="1" w:styleId="45">
    <w:name w:val="Unresolved Mention"/>
    <w:basedOn w:val="35"/>
    <w:qFormat/>
    <w:uiPriority w:val="0"/>
    <w:rPr>
      <w:color w:val="605E5C"/>
      <w:shd w:val="clear" w:color="auto" w:fill="E1DFDD"/>
    </w:rPr>
  </w:style>
  <w:style w:type="paragraph" w:styleId="46">
    <w:name w:val="List Paragraph"/>
    <w:basedOn w:val="1"/>
    <w:qFormat/>
    <w:uiPriority w:val="34"/>
    <w:pPr>
      <w:ind w:firstLine="420" w:firstLineChars="200"/>
    </w:pPr>
  </w:style>
  <w:style w:type="paragraph" w:customStyle="1" w:styleId="47">
    <w:name w:val="页眉与页脚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5" Type="http://schemas.microsoft.com/office/2011/relationships/people" Target="people.xml"/><Relationship Id="rId94" Type="http://schemas.openxmlformats.org/officeDocument/2006/relationships/fontTable" Target="fontTable.xml"/><Relationship Id="rId93" Type="http://schemas.openxmlformats.org/officeDocument/2006/relationships/customXml" Target="../customXml/item1.xml"/><Relationship Id="rId92" Type="http://schemas.openxmlformats.org/officeDocument/2006/relationships/numbering" Target="numbering.xml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footer" Target="footer1.xml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header" Target="header2.xml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1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jpeg"/><Relationship Id="rId60" Type="http://schemas.openxmlformats.org/officeDocument/2006/relationships/image" Target="media/image49.png"/><Relationship Id="rId6" Type="http://schemas.openxmlformats.org/officeDocument/2006/relationships/endnotes" Target="endnotes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footnotes" Target="footnotes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89F6F-D27B-4FE1-B5E4-C93AEAF712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68</Pages>
  <Words>13868</Words>
  <Characters>14478</Characters>
  <Lines>15</Lines>
  <Paragraphs>4</Paragraphs>
  <TotalTime>23</TotalTime>
  <ScaleCrop>false</ScaleCrop>
  <LinksUpToDate>false</LinksUpToDate>
  <CharactersWithSpaces>14866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2018-11-09T07:19:00Z</dcterms:created>
  <dc:creator>肖孚晨</dc:creator>
  <cp:lastModifiedBy>颖ʘᴗʘ</cp:lastModifiedBy>
  <cp:lastPrinted>2001-12-27T08:27:00Z</cp:lastPrinted>
  <dcterms:modified xsi:type="dcterms:W3CDTF">2026-07-09T12:34:12Z</dcterms:modified>
  <dc:title>  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-173867756</vt:i4>
  </property>
  <property fmtid="{D5CDD505-2E9C-101B-9397-08002B2CF9AE}" pid="3" name="_EmailSubject">
    <vt:lpwstr>公司文档标识</vt:lpwstr>
  </property>
  <property fmtid="{D5CDD505-2E9C-101B-9397-08002B2CF9AE}" pid="4" name="_AuthorEmail">
    <vt:lpwstr>haidew@chinapages.com</vt:lpwstr>
  </property>
  <property fmtid="{D5CDD505-2E9C-101B-9397-08002B2CF9AE}" pid="5" name="_AuthorEmailDisplayName">
    <vt:lpwstr>Haide Wang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2052-12.1.0.26895</vt:lpwstr>
  </property>
  <property fmtid="{D5CDD505-2E9C-101B-9397-08002B2CF9AE}" pid="8" name="ICV">
    <vt:lpwstr>06BBFCB8E51B44D2B39AFCD276BDBE4D</vt:lpwstr>
  </property>
  <property fmtid="{D5CDD505-2E9C-101B-9397-08002B2CF9AE}" pid="9" name="KSOTemplateDocerSaveRecord">
    <vt:lpwstr>eyJoZGlkIjoiYjQxMmUxY2NkYjFmOGNiMDM5ZTA5YWU4NjkyMTI2ZmQiLCJ1c2VySWQiOiI0OTcxNjk0MzIifQ==</vt:lpwstr>
  </property>
</Properties>
</file>