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4"/>
        <w:ind w:left="1785" w:right="1935" w:firstLine="0"/>
        <w:jc w:val="center"/>
        <w:rPr>
          <w:sz w:val="32"/>
        </w:rPr>
      </w:pPr>
      <w:r>
        <w:rPr>
          <w:sz w:val="32"/>
        </w:rPr>
        <w:t>硅锗双极技术中的一种60GHz超外差下转换混合器</w:t>
      </w:r>
    </w:p>
    <w:p>
      <w:pPr>
        <w:spacing w:before="165"/>
        <w:ind w:left="1785" w:right="1934" w:firstLine="0"/>
        <w:jc w:val="center"/>
        <w:rPr>
          <w:sz w:val="22"/>
        </w:rPr>
      </w:pPr>
      <w:r>
        <w:rPr>
          <w:sz w:val="22"/>
        </w:rPr>
        <w:t>斯科特·K·雷诺兹</w:t>
      </w:r>
    </w:p>
    <w:p>
      <w:pPr>
        <w:pStyle w:val="BodyText"/>
      </w:pPr>
    </w:p>
    <w:p>
      <w:pPr>
        <w:pStyle w:val="BodyText"/>
        <w:spacing w:before="8"/>
        <w:rPr>
          <w:sz w:val="24"/>
        </w:rPr>
      </w:pPr>
    </w:p>
    <w:p>
      <w:pPr>
        <w:spacing w:after="0"/>
        <w:rPr>
          <w:sz w:val="24"/>
        </w:rPr>
        <w:sectPr>
          <w:headerReference w:type="default" r:id="rId5"/>
          <w:headerReference w:type="even" r:id="rId6"/>
          <w:footerReference w:type="default" r:id="rId7"/>
          <w:footerReference w:type="even" r:id="rId8"/>
          <w:type w:val="continuous"/>
          <w:pgSz w:w="11880" w:h="15840"/>
          <w:pgMar w:header="654" w:footer="50" w:top="1160" w:bottom="240" w:left="660" w:right="580"/>
          <w:pgNumType w:start="2065"/>
        </w:sectPr>
      </w:pPr>
    </w:p>
    <w:p>
      <w:pPr>
        <w:spacing w:line="232" w:lineRule="auto" w:before="94"/>
        <w:ind w:left="177" w:right="75" w:firstLine="180"/>
        <w:jc w:val="both"/>
        <w:rPr>
          <w:b/>
          <w:sz w:val="18"/>
        </w:rPr>
      </w:pPr>
      <w:r>
        <w:rPr>
          <w:b/>
          <w:sz w:val="18"/>
        </w:rPr>
        <w:t>摘要-在SiGe双极技术中，制备了一种用于57-64GHz</w:t>
      </w:r>
      <w:r>
        <w:rPr>
          <w:b/>
          <w:spacing w:val="-11"/>
          <w:sz w:val="18"/>
        </w:rPr>
        <w:t> </w:t>
      </w:r>
      <w:r>
        <w:rPr>
          <w:b/>
          <w:sz w:val="18"/>
        </w:rPr>
        <w:t>ISM波段</w:t>
      </w:r>
      <w:r>
        <w:rPr>
          <w:b/>
          <w:spacing w:val="-1"/>
          <w:sz w:val="18"/>
        </w:rPr>
        <w:t>超外差接收机的单平衡吉尔伯特混频器。 使用</w:t>
      </w:r>
      <w:r>
        <w:rPr>
          <w:b/>
          <w:sz w:val="18"/>
        </w:rPr>
        <w:t>8.3-9.1GHz</w:t>
      </w:r>
      <w:r>
        <w:rPr>
          <w:b/>
          <w:spacing w:val="-6"/>
          <w:sz w:val="18"/>
        </w:rPr>
        <w:t>范围</w:t>
      </w:r>
      <w:r>
        <w:rPr>
          <w:b/>
          <w:w w:val="95"/>
          <w:sz w:val="18"/>
        </w:rPr>
        <w:t>内的输出中频，混频器实现电压转换增益9dB</w:t>
      </w:r>
      <w:r>
        <w:rPr>
          <w:b/>
          <w:spacing w:val="-2"/>
          <w:w w:val="95"/>
          <w:sz w:val="18"/>
        </w:rPr>
        <w:t>和上单边带噪声图</w:t>
      </w:r>
    </w:p>
    <w:p>
      <w:pPr>
        <w:spacing w:line="232" w:lineRule="auto" w:before="1"/>
        <w:ind w:left="1617" w:right="83" w:firstLine="2520"/>
        <w:jc w:val="left"/>
        <w:rPr>
          <w:b/>
          <w:sz w:val="18"/>
        </w:rPr>
      </w:pPr>
      <w:r>
        <w:rPr/>
        <w:drawing>
          <wp:anchor distT="0" distB="0" distL="0" distR="0" allowOverlap="1" layoutInCell="1" locked="0" behindDoc="0" simplePos="0" relativeHeight="251659264">
            <wp:simplePos x="0" y="0"/>
            <wp:positionH relativeFrom="page">
              <wp:posOffset>495300</wp:posOffset>
            </wp:positionH>
            <wp:positionV relativeFrom="paragraph">
              <wp:posOffset>115442</wp:posOffset>
            </wp:positionV>
            <wp:extent cx="79248" cy="7924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79248" cy="79248"/>
                    </a:xfrm>
                    <a:prstGeom prst="rect">
                      <a:avLst/>
                    </a:prstGeom>
                  </pic:spPr>
                </pic:pic>
              </a:graphicData>
            </a:graphic>
          </wp:anchor>
        </w:drawing>
      </w:r>
      <w:r>
        <w:rPr/>
        <w:drawing>
          <wp:anchor distT="0" distB="0" distL="0" distR="0" allowOverlap="1" layoutInCell="1" locked="0" behindDoc="1" simplePos="0" relativeHeight="251345920">
            <wp:simplePos x="0" y="0"/>
            <wp:positionH relativeFrom="page">
              <wp:posOffset>3000755</wp:posOffset>
            </wp:positionH>
            <wp:positionV relativeFrom="paragraph">
              <wp:posOffset>115442</wp:posOffset>
            </wp:positionV>
            <wp:extent cx="79248" cy="7924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79248" cy="79248"/>
                    </a:xfrm>
                    <a:prstGeom prst="rect">
                      <a:avLst/>
                    </a:prstGeom>
                  </pic:spPr>
                </pic:pic>
              </a:graphicData>
            </a:graphic>
          </wp:anchor>
        </w:drawing>
      </w:r>
      <w:r>
        <w:rPr>
          <w:b/>
          <w:sz w:val="18"/>
        </w:rPr>
        <w:t>13天B，混合</w:t>
      </w:r>
      <w:r>
        <w:rPr>
          <w:b/>
          <w:spacing w:val="-1"/>
          <w:w w:val="95"/>
          <w:sz w:val="18"/>
        </w:rPr>
        <w:t>器芯电流消耗为</w:t>
      </w:r>
      <w:r>
        <w:rPr>
          <w:b/>
          <w:w w:val="95"/>
          <w:sz w:val="18"/>
        </w:rPr>
        <w:t>3.2米A，2.7V</w:t>
      </w:r>
      <w:r>
        <w:rPr>
          <w:b/>
          <w:spacing w:val="-2"/>
          <w:w w:val="95"/>
          <w:sz w:val="18"/>
        </w:rPr>
        <w:t>。总测试-现场</w:t>
      </w:r>
    </w:p>
    <w:p>
      <w:pPr>
        <w:spacing w:line="215" w:lineRule="exact" w:before="0"/>
        <w:ind w:left="100" w:right="0" w:firstLine="0"/>
        <w:jc w:val="left"/>
        <w:rPr>
          <w:b/>
          <w:sz w:val="18"/>
        </w:rPr>
      </w:pPr>
      <w:r>
        <w:rPr>
          <w:b/>
          <w:sz w:val="18"/>
        </w:rPr>
        <w:t>当前消耗，包括输出缓冲器，为19.2mA。</w:t>
      </w:r>
    </w:p>
    <w:p>
      <w:pPr>
        <w:spacing w:before="101"/>
        <w:ind w:left="280" w:right="0" w:firstLine="0"/>
        <w:jc w:val="left"/>
        <w:rPr>
          <w:b/>
          <w:sz w:val="18"/>
        </w:rPr>
      </w:pPr>
      <w:r>
        <w:rPr>
          <w:b/>
          <w:sz w:val="18"/>
        </w:rPr>
        <w:t>指数术语-毫米波频率，混合器，MMIC，接收器，SiGe。</w:t>
      </w:r>
    </w:p>
    <w:p>
      <w:pPr>
        <w:pStyle w:val="BodyText"/>
        <w:rPr>
          <w:b/>
          <w:sz w:val="18"/>
        </w:rPr>
      </w:pPr>
    </w:p>
    <w:p>
      <w:pPr>
        <w:pStyle w:val="ListParagraph"/>
        <w:numPr>
          <w:ilvl w:val="0"/>
          <w:numId w:val="1"/>
        </w:numPr>
        <w:tabs>
          <w:tab w:pos="2115" w:val="left" w:leader="none"/>
        </w:tabs>
        <w:spacing w:line="240" w:lineRule="auto" w:before="144" w:after="0"/>
        <w:ind w:left="2114" w:right="0" w:hanging="217"/>
        <w:jc w:val="left"/>
        <w:rPr>
          <w:sz w:val="16"/>
        </w:rPr>
      </w:pPr>
      <w:r>
        <w:rPr>
          <w:sz w:val="16"/>
        </w:rPr>
        <w:t>导言</w:t>
      </w:r>
    </w:p>
    <w:p>
      <w:pPr>
        <w:pStyle w:val="BodyText"/>
        <w:spacing w:line="252" w:lineRule="auto" w:before="112"/>
        <w:ind w:left="127" w:right="96" w:firstLine="600"/>
        <w:jc w:val="right"/>
      </w:pPr>
      <w:r>
        <w:rPr/>
        <w:pict>
          <v:shape style="position:absolute;margin-left:38.040001pt;margin-top:5.00842pt;width:14.75pt;height:29.5pt;mso-position-horizontal-relative:page;mso-position-vertical-relative:paragraph;z-index:-251964416" type="#_x0000_t202" filled="false" stroked="false">
            <v:textbox inset="0,0,0,0">
              <w:txbxContent>
                <w:p>
                  <w:pPr>
                    <w:spacing w:line="590" w:lineRule="exact" w:before="0"/>
                    <w:ind w:left="0" w:right="0" w:firstLine="0"/>
                    <w:jc w:val="left"/>
                    <w:rPr>
                      <w:b/>
                      <w:sz w:val="59"/>
                    </w:rPr>
                  </w:pPr>
                  <w:r>
                    <w:rPr>
                      <w:b/>
                      <w:w w:val="99"/>
                      <w:sz w:val="59"/>
                    </w:rPr>
                    <w:t>t</w:t>
                  </w:r>
                </w:p>
              </w:txbxContent>
            </v:textbox>
            <w10:wrap type="none"/>
          </v:shape>
        </w:pict>
      </w:r>
      <w:hyperlink w:history="true" w:anchor="_bookmark0">
        <w:r>
          <w:rPr/>
          <w:t>[1]–[4</w:t>
        </w:r>
        <w:r>
          <w:rPr>
            <w:spacing w:val="-4"/>
          </w:rPr>
          <w:t>]. </w:t>
        </w:r>
      </w:hyperlink>
      <w:r>
        <w:rPr/>
        <w:t>硅基双极和CMOS工艺技术的频率范围不</w:t>
      </w:r>
      <w:r>
        <w:rPr>
          <w:w w:val="95"/>
        </w:rPr>
        <w:t>断扩大，使毫米波无线电电路在硅中成为可能，这创造了 低成本、高度集成的毫米波无线电用于各种应用的可能 性，例如在定向链路上的无线数据传输、无线个人区域网 络(WPANs)和用于无线数据传输的汽车雷达，由于规模较 大，因此对未经许可的57-64GHz工业、科学和医疗(ISM)</w:t>
      </w:r>
    </w:p>
    <w:p>
      <w:pPr>
        <w:pStyle w:val="BodyText"/>
        <w:spacing w:line="235" w:lineRule="auto" w:before="3"/>
        <w:ind w:left="100" w:right="96" w:firstLine="2227"/>
      </w:pPr>
      <w:r>
        <w:rPr/>
        <w:t>波段特别感</w:t>
      </w:r>
      <w:hyperlink w:history="true" w:anchor="_bookmark0">
        <w:r>
          <w:rPr/>
          <w:t>兴趣[5], </w:t>
        </w:r>
      </w:hyperlink>
      <w:hyperlink w:history="true" w:anchor="_bookmark0">
        <w:r>
          <w:rPr/>
          <w:t>[6], </w:t>
        </w:r>
      </w:hyperlink>
      <w:hyperlink w:history="true" w:anchor="_bookmark0">
        <w:r>
          <w:rPr/>
          <w:t>[7]. </w:t>
        </w:r>
      </w:hyperlink>
      <w:r>
        <w:rPr/>
        <w:t>那里可用的带宽允许较高的数据速率。</w:t>
      </w:r>
    </w:p>
    <w:p>
      <w:pPr>
        <w:pStyle w:val="BodyText"/>
        <w:tabs>
          <w:tab w:pos="4725" w:val="left" w:leader="none"/>
        </w:tabs>
        <w:spacing w:line="252" w:lineRule="auto"/>
        <w:ind w:left="100" w:firstLine="199"/>
      </w:pPr>
      <w:r>
        <w:rPr/>
        <w:t>本文描述了一种单平衡吉尔伯特混频器的设计和测量结果，该混频器用于射频输入为57-64GHz和可变中频范围为8.3-9.1GHz的超外差接收机，如图的简化示意图所示。</w:t>
      </w:r>
      <w:r>
        <w:rPr>
          <w:spacing w:val="11"/>
        </w:rPr>
        <w:t> </w:t>
      </w:r>
      <w:r>
        <w:rPr/>
        <w:t>1. 这是第一次报道硅基活性混合器在这个频率。</w:t>
      </w:r>
      <w:hyperlink w:history="true" w:anchor="_bookmark0">
        <w:r>
          <w:rPr/>
          <w:t>[8],</w:t>
        </w:r>
      </w:hyperlink>
      <w:r>
        <w:rPr/>
        <w:tab/>
        <w:t>早些时候，我们报道了在同一SiGe工艺技术中的直接转换正交下变频器，而另一些则报道了在77GHz</w:t>
      </w:r>
      <w:r>
        <w:rPr>
          <w:spacing w:val="4"/>
        </w:rPr>
        <w:t> </w:t>
      </w:r>
      <w:r>
        <w:rPr/>
        <w:t>SiGe双极技术下的</w:t>
      </w:r>
      <w:r>
        <w:rPr>
          <w:spacing w:val="17"/>
        </w:rPr>
        <w:t>双平</w:t>
      </w:r>
      <w:r>
        <w:rPr>
          <w:spacing w:val="14"/>
        </w:rPr>
        <w:t>衡</w:t>
      </w:r>
      <w:r>
        <w:rPr>
          <w:spacing w:val="17"/>
        </w:rPr>
        <w:t>混频器</w:t>
      </w:r>
      <w:r>
        <w:rPr>
          <w:spacing w:val="14"/>
        </w:rPr>
        <w:t>被</w:t>
      </w:r>
      <w:r>
        <w:rPr>
          <w:spacing w:val="17"/>
        </w:rPr>
        <w:t>用于制造</w:t>
      </w:r>
      <w:r>
        <w:rPr>
          <w:spacing w:val="8"/>
        </w:rPr>
        <w:t>60</w:t>
      </w:r>
      <w:r>
        <w:rPr>
          <w:spacing w:val="17"/>
        </w:rPr>
        <w:t>和</w:t>
      </w:r>
      <w:r>
        <w:rPr>
          <w:spacing w:val="2"/>
        </w:rPr>
        <w:t>77GHz</w:t>
      </w:r>
      <w:r>
        <w:rPr>
          <w:spacing w:val="17"/>
        </w:rPr>
        <w:t>波段</w:t>
      </w:r>
      <w:r>
        <w:rPr>
          <w:spacing w:val="14"/>
        </w:rPr>
        <w:t>的</w:t>
      </w:r>
      <w:r>
        <w:rPr>
          <w:spacing w:val="17"/>
        </w:rPr>
        <w:t>低噪声</w:t>
      </w:r>
      <w:r>
        <w:rPr>
          <w:spacing w:val="14"/>
        </w:rPr>
        <w:t>放</w:t>
      </w:r>
      <w:r>
        <w:rPr/>
        <w:t>大器、电压控制振荡器和功率放大器，以及目前的超外差混频器比以前报道的直接下变频器实现了大约10dB的更宽的</w:t>
      </w:r>
      <w:r>
        <w:rPr>
          <w:spacing w:val="7"/>
        </w:rPr>
        <w:t>动</w:t>
      </w:r>
      <w:r>
        <w:rPr>
          <w:spacing w:val="5"/>
        </w:rPr>
        <w:t>态</w:t>
      </w:r>
      <w:r>
        <w:rPr>
          <w:spacing w:val="7"/>
        </w:rPr>
        <w:t>范</w:t>
      </w:r>
      <w:r>
        <w:rPr>
          <w:spacing w:val="5"/>
        </w:rPr>
        <w:t>围</w:t>
      </w:r>
      <w:r>
        <w:rPr>
          <w:spacing w:val="7"/>
        </w:rPr>
        <w:t>，这</w:t>
      </w:r>
      <w:r>
        <w:rPr>
          <w:spacing w:val="5"/>
        </w:rPr>
        <w:t>是</w:t>
      </w:r>
      <w:r>
        <w:rPr>
          <w:spacing w:val="7"/>
        </w:rPr>
        <w:t>由</w:t>
      </w:r>
      <w:r>
        <w:rPr>
          <w:spacing w:val="5"/>
        </w:rPr>
        <w:t>相</w:t>
      </w:r>
      <w:r>
        <w:rPr>
          <w:spacing w:val="7"/>
        </w:rPr>
        <w:t>对噪</w:t>
      </w:r>
      <w:r>
        <w:rPr>
          <w:spacing w:val="5"/>
        </w:rPr>
        <w:t>声</w:t>
      </w:r>
      <w:r>
        <w:rPr>
          <w:spacing w:val="7"/>
        </w:rPr>
        <w:t>数</w:t>
      </w:r>
      <w:r>
        <w:rPr>
          <w:spacing w:val="5"/>
        </w:rPr>
        <w:t>字</w:t>
      </w:r>
      <w:r>
        <w:rPr>
          <w:spacing w:val="7"/>
        </w:rPr>
        <w:t>和输</w:t>
      </w:r>
      <w:r>
        <w:rPr>
          <w:spacing w:val="5"/>
        </w:rPr>
        <w:t>入</w:t>
      </w:r>
      <w:r>
        <w:rPr>
          <w:spacing w:val="7"/>
        </w:rPr>
        <w:t>参</w:t>
      </w:r>
      <w:r>
        <w:rPr>
          <w:spacing w:val="5"/>
        </w:rPr>
        <w:t>考</w:t>
      </w:r>
      <w:r>
        <w:rPr>
          <w:spacing w:val="7"/>
        </w:rPr>
        <w:t>的</w:t>
      </w:r>
      <w:r>
        <w:rPr>
          <w:spacing w:val="2"/>
        </w:rPr>
        <w:t>1dB</w:t>
      </w:r>
      <w:r>
        <w:rPr>
          <w:spacing w:val="7"/>
        </w:rPr>
        <w:t>压</w:t>
      </w:r>
      <w:r>
        <w:rPr>
          <w:spacing w:val="5"/>
        </w:rPr>
        <w:t>缩</w:t>
      </w:r>
      <w:r>
        <w:rPr/>
        <w:t>点来判断的。</w:t>
      </w:r>
      <w:hyperlink w:history="true" w:anchor="_bookmark0">
        <w:r>
          <w:rPr/>
          <w:t>[9].</w:t>
        </w:r>
        <w:r>
          <w:rPr>
            <w:spacing w:val="-2"/>
          </w:rPr>
          <w:t> </w:t>
        </w:r>
      </w:hyperlink>
      <w:hyperlink w:history="true" w:anchor="_bookmark0">
        <w:r>
          <w:rPr/>
          <w:t>[10],</w:t>
        </w:r>
        <w:r>
          <w:rPr>
            <w:spacing w:val="-1"/>
          </w:rPr>
          <w:t> </w:t>
        </w:r>
      </w:hyperlink>
      <w:hyperlink w:history="true" w:anchor="_bookmark0">
        <w:r>
          <w:rPr/>
          <w:t>[11].</w:t>
        </w:r>
      </w:hyperlink>
    </w:p>
    <w:p>
      <w:pPr>
        <w:pStyle w:val="BodyText"/>
        <w:spacing w:line="252" w:lineRule="auto" w:before="2"/>
        <w:ind w:left="100" w:right="97" w:firstLine="199"/>
        <w:jc w:val="both"/>
      </w:pPr>
      <w:r>
        <w:rPr/>
        <w:t>目前的单平衡混频器被设想为未来双转换超外差接收机</w:t>
      </w:r>
      <w:r>
        <w:rPr>
          <w:spacing w:val="5"/>
        </w:rPr>
        <w:t>中的第一混频器。 第二种频率转换将是将</w:t>
      </w:r>
      <w:r>
        <w:rPr/>
        <w:t>8.3-9.1GHz中</w:t>
      </w:r>
      <w:r>
        <w:rPr>
          <w:spacing w:val="3"/>
        </w:rPr>
        <w:t>频信号转换为基带的正交混频器。 选择变量</w:t>
      </w:r>
      <w:r>
        <w:rPr/>
        <w:t>IF</w:t>
      </w:r>
      <w:r>
        <w:rPr>
          <w:spacing w:val="1"/>
        </w:rPr>
        <w:t>是因为它</w:t>
      </w:r>
      <w:r>
        <w:rPr>
          <w:spacing w:val="9"/>
          <w:w w:val="95"/>
        </w:rPr>
        <w:t>允许使用单个频率合成器同时生成第一和第二</w:t>
      </w:r>
      <w:r>
        <w:rPr>
          <w:spacing w:val="5"/>
          <w:w w:val="95"/>
        </w:rPr>
        <w:t>LO</w:t>
      </w:r>
      <w:r>
        <w:rPr>
          <w:spacing w:val="6"/>
          <w:w w:val="95"/>
        </w:rPr>
        <w:t>信号。 </w:t>
      </w:r>
      <w:r>
        <w:rPr>
          <w:spacing w:val="6"/>
        </w:rPr>
        <w:t>与先前报道的直接转换架构相比，这种整体接收机架构将60GHz的信号处理量最小</w:t>
      </w:r>
      <w:hyperlink w:history="true" w:anchor="_bookmark0">
        <w:r>
          <w:rPr>
            <w:spacing w:val="6"/>
          </w:rPr>
          <w:t>化[8].</w:t>
        </w:r>
      </w:hyperlink>
    </w:p>
    <w:p>
      <w:pPr>
        <w:spacing w:line="235" w:lineRule="auto" w:before="116"/>
        <w:ind w:left="100" w:right="82" w:firstLine="160"/>
        <w:jc w:val="left"/>
        <w:rPr>
          <w:sz w:val="16"/>
        </w:rPr>
      </w:pPr>
      <w:r>
        <w:rPr>
          <w:sz w:val="16"/>
        </w:rPr>
        <w:t>手稿收到2004年3月23日；修改后的2004年6月17日。 这项工作得到美国航天局的部分支持。</w:t>
      </w:r>
    </w:p>
    <w:p>
      <w:pPr>
        <w:spacing w:before="0"/>
        <w:ind w:left="100" w:right="322" w:firstLine="160"/>
        <w:jc w:val="left"/>
        <w:rPr>
          <w:sz w:val="16"/>
        </w:rPr>
      </w:pPr>
      <w:r>
        <w:rPr>
          <w:sz w:val="16"/>
        </w:rPr>
        <w:t>s</w:t>
      </w:r>
      <w:r>
        <w:rPr>
          <w:spacing w:val="-1"/>
          <w:sz w:val="16"/>
        </w:rPr>
        <w:t>. </w:t>
      </w:r>
      <w:r>
        <w:rPr>
          <w:sz w:val="16"/>
        </w:rPr>
        <w:t>k</w:t>
      </w:r>
      <w:r>
        <w:rPr>
          <w:spacing w:val="-1"/>
          <w:sz w:val="16"/>
        </w:rPr>
        <w:t>。 雷诺兹是</w:t>
      </w:r>
      <w:r>
        <w:rPr>
          <w:sz w:val="16"/>
        </w:rPr>
        <w:t>IBM</w:t>
      </w:r>
      <w:r>
        <w:rPr>
          <w:spacing w:val="-2"/>
          <w:sz w:val="16"/>
        </w:rPr>
        <w:t>托马斯</w:t>
      </w:r>
      <w:r>
        <w:rPr>
          <w:sz w:val="16"/>
        </w:rPr>
        <w:t>J</w:t>
      </w:r>
      <w:r>
        <w:rPr>
          <w:spacing w:val="-3"/>
          <w:sz w:val="16"/>
        </w:rPr>
        <w:t>。 沃森研究中心，约克镇高地，纽约10598美国(电子邮件：</w:t>
      </w:r>
      <w:r>
        <w:rPr>
          <w:sz w:val="16"/>
        </w:rPr>
        <w:t>skreyn@us.ibm.com)。</w:t>
      </w:r>
    </w:p>
    <w:p>
      <w:pPr>
        <w:spacing w:line="189" w:lineRule="exact" w:before="0"/>
        <w:ind w:left="261" w:right="0" w:firstLine="0"/>
        <w:jc w:val="left"/>
        <w:rPr>
          <w:sz w:val="16"/>
        </w:rPr>
      </w:pPr>
      <w:r>
        <w:rPr>
          <w:spacing w:val="-3"/>
          <w:sz w:val="16"/>
        </w:rPr>
        <w:t>数字对象标识符</w:t>
      </w:r>
      <w:r>
        <w:rPr>
          <w:spacing w:val="-1"/>
          <w:sz w:val="16"/>
        </w:rPr>
        <w:t>10.1109/JSSC.2004.835838</w:t>
      </w:r>
    </w:p>
    <w:p>
      <w:pPr>
        <w:pStyle w:val="BodyText"/>
        <w:spacing w:line="252" w:lineRule="auto" w:before="71"/>
        <w:ind w:left="98" w:right="252" w:firstLine="196"/>
        <w:jc w:val="both"/>
      </w:pPr>
      <w:r>
        <w:rPr/>
        <w:br w:type="column"/>
      </w:r>
      <w:r>
        <w:rPr/>
        <w:t>在一些应用中，双平衡混合器比单平衡设计更可取，因</w:t>
      </w:r>
      <w:r>
        <w:rPr>
          <w:spacing w:val="9"/>
          <w:w w:val="95"/>
        </w:rPr>
        <w:t>为它们提供了减少本地振荡器</w:t>
      </w:r>
      <w:r>
        <w:rPr>
          <w:spacing w:val="2"/>
          <w:w w:val="95"/>
        </w:rPr>
        <w:t>(LO</w:t>
      </w:r>
      <w:r>
        <w:rPr>
          <w:spacing w:val="7"/>
          <w:w w:val="95"/>
        </w:rPr>
        <w:t>)信号对中频输出的泄 </w:t>
      </w:r>
      <w:r>
        <w:rPr/>
        <w:t>漏。 双平衡混合器也可以提供减少二阶互调失真产品， </w:t>
      </w:r>
      <w:r>
        <w:rPr>
          <w:spacing w:val="1"/>
        </w:rPr>
        <w:t>因为取消了偶数阶失真项。 三阶互调失真主要由混频器</w:t>
      </w:r>
      <w:r>
        <w:rPr/>
        <w:t>的透射部分决定，这两种拓扑在这方面都能很好地执行。在目前的体系结构中，单平衡混频器是在双平衡设计中选择的，因为它简化了60GHz电路，只有两个开关晶体管(图</w:t>
      </w:r>
      <w:r>
        <w:rPr>
          <w:spacing w:val="5"/>
        </w:rPr>
        <w:t>中的</w:t>
      </w:r>
      <w:r>
        <w:rPr>
          <w:spacing w:val="3"/>
        </w:rPr>
        <w:t>Q3</w:t>
      </w:r>
      <w:r>
        <w:rPr>
          <w:spacing w:val="5"/>
        </w:rPr>
        <w:t>和</w:t>
      </w:r>
      <w:r>
        <w:rPr>
          <w:spacing w:val="3"/>
        </w:rPr>
        <w:t>Q4</w:t>
      </w:r>
      <w:r>
        <w:rPr>
          <w:spacing w:val="-5"/>
        </w:rPr>
        <w:t>。 </w:t>
      </w:r>
      <w:r>
        <w:rPr>
          <w:spacing w:val="4"/>
        </w:rPr>
        <w:t>1</w:t>
      </w:r>
      <w:r>
        <w:rPr>
          <w:spacing w:val="5"/>
        </w:rPr>
        <w:t>)，只需要一个单一的</w:t>
      </w:r>
      <w:r>
        <w:rPr>
          <w:spacing w:val="7"/>
        </w:rPr>
        <w:t>（</w:t>
      </w:r>
      <w:r>
        <w:rPr>
          <w:spacing w:val="5"/>
        </w:rPr>
        <w:t>不平衡的）</w:t>
      </w:r>
      <w:r>
        <w:rPr>
          <w:spacing w:val="-4"/>
        </w:rPr>
        <w:t>射频</w:t>
      </w:r>
      <w:r>
        <w:rPr/>
        <w:t>输入。 在随后的中频放大器中，通过滤波去除混频器输出中存在的LO信号和任何二阶失真产物。</w:t>
      </w:r>
    </w:p>
    <w:p>
      <w:pPr>
        <w:pStyle w:val="BodyText"/>
        <w:spacing w:line="252" w:lineRule="auto"/>
        <w:ind w:left="98" w:right="251" w:firstLine="196"/>
        <w:jc w:val="both"/>
      </w:pPr>
      <w:r>
        <w:rPr/>
        <w:drawing>
          <wp:anchor distT="0" distB="0" distL="0" distR="0" allowOverlap="1" layoutInCell="1" locked="0" behindDoc="1" simplePos="0" relativeHeight="251346944">
            <wp:simplePos x="0" y="0"/>
            <wp:positionH relativeFrom="page">
              <wp:posOffset>5077967</wp:posOffset>
            </wp:positionH>
            <wp:positionV relativeFrom="paragraph">
              <wp:posOffset>539369</wp:posOffset>
            </wp:positionV>
            <wp:extent cx="74675" cy="609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74675" cy="6096"/>
                    </a:xfrm>
                    <a:prstGeom prst="rect">
                      <a:avLst/>
                    </a:prstGeom>
                  </pic:spPr>
                </pic:pic>
              </a:graphicData>
            </a:graphic>
          </wp:anchor>
        </w:drawing>
      </w:r>
      <w:r>
        <w:rPr/>
        <w:t>在60GHz</w:t>
      </w:r>
      <w:r>
        <w:rPr>
          <w:spacing w:val="11"/>
        </w:rPr>
        <w:t> </w:t>
      </w:r>
      <w:r>
        <w:rPr/>
        <w:t>WPAN应用中，缺乏更强的相邻信道干扰，意味</w:t>
      </w:r>
      <w:r>
        <w:rPr>
          <w:spacing w:val="1"/>
        </w:rPr>
        <w:t>着线性要求不严格。 我们的系统设计假设天线处的最大</w:t>
      </w:r>
      <w:r>
        <w:rPr>
          <w:spacing w:val="5"/>
          <w:w w:val="95"/>
        </w:rPr>
        <w:t>接收信号约为</w:t>
      </w:r>
      <w:r>
        <w:rPr>
          <w:spacing w:val="2"/>
          <w:w w:val="95"/>
        </w:rPr>
        <w:t>30dBm</w:t>
      </w:r>
      <w:r>
        <w:rPr>
          <w:spacing w:val="3"/>
          <w:w w:val="95"/>
        </w:rPr>
        <w:t>，并且目前的单平衡混频器和早期的 </w:t>
      </w:r>
      <w:r>
        <w:rPr>
          <w:spacing w:val="3"/>
        </w:rPr>
        <w:t>双平衡设计都有足够的线性和动态范围用于这种应用，特别是当前面有变增益低噪声放大器(LNA)时)。</w:t>
      </w:r>
    </w:p>
    <w:p>
      <w:pPr>
        <w:pStyle w:val="BodyText"/>
        <w:spacing w:before="4"/>
        <w:rPr>
          <w:sz w:val="18"/>
        </w:rPr>
      </w:pPr>
    </w:p>
    <w:p>
      <w:pPr>
        <w:pStyle w:val="ListParagraph"/>
        <w:numPr>
          <w:ilvl w:val="0"/>
          <w:numId w:val="1"/>
        </w:numPr>
        <w:tabs>
          <w:tab w:pos="2441" w:val="left" w:leader="none"/>
        </w:tabs>
        <w:spacing w:line="240" w:lineRule="auto" w:before="1" w:after="0"/>
        <w:ind w:left="2440" w:right="0" w:hanging="284"/>
        <w:jc w:val="left"/>
        <w:rPr>
          <w:sz w:val="16"/>
        </w:rPr>
      </w:pPr>
      <w:r>
        <w:rPr>
          <w:sz w:val="16"/>
        </w:rPr>
        <w:t>设计</w:t>
      </w:r>
    </w:p>
    <w:p>
      <w:pPr>
        <w:pStyle w:val="BodyText"/>
        <w:tabs>
          <w:tab w:pos="1168" w:val="left" w:leader="none"/>
          <w:tab w:pos="2598" w:val="left" w:leader="none"/>
          <w:tab w:pos="3333" w:val="left" w:leader="none"/>
        </w:tabs>
        <w:spacing w:line="252" w:lineRule="auto" w:before="115"/>
        <w:ind w:left="95" w:right="277" w:firstLine="199"/>
      </w:pPr>
      <w:r>
        <w:rPr/>
        <w:pict>
          <v:group style="position:absolute;margin-left:438pt;margin-top:10.539994pt;width:19.95pt;height:20.05pt;mso-position-horizontal-relative:page;mso-position-vertical-relative:paragraph;z-index:-251968512" coordorigin="8760,211" coordsize="399,401">
            <v:shape style="position:absolute;left:8760;top:210;width:108;height:128" type="#_x0000_t75" stroked="false">
              <v:imagedata r:id="rId12" o:title=""/>
            </v:shape>
            <v:shape style="position:absolute;left:8868;top:405;width:283;height:135" type="#_x0000_t75" stroked="false">
              <v:imagedata r:id="rId13" o:title=""/>
            </v:shape>
            <v:shape style="position:absolute;left:9026;top:434;width:132;height:178" type="#_x0000_t75" stroked="false">
              <v:imagedata r:id="rId14" o:title=""/>
            </v:shape>
            <w10:wrap type="none"/>
          </v:group>
        </w:pict>
      </w:r>
      <w:r>
        <w:rPr/>
        <w:drawing>
          <wp:anchor distT="0" distB="0" distL="0" distR="0" allowOverlap="1" layoutInCell="1" locked="0" behindDoc="1" simplePos="0" relativeHeight="251348992">
            <wp:simplePos x="0" y="0"/>
            <wp:positionH relativeFrom="page">
              <wp:posOffset>6829043</wp:posOffset>
            </wp:positionH>
            <wp:positionV relativeFrom="paragraph">
              <wp:posOffset>257301</wp:posOffset>
            </wp:positionV>
            <wp:extent cx="179486" cy="83820"/>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5" cstate="print"/>
                    <a:stretch>
                      <a:fillRect/>
                    </a:stretch>
                  </pic:blipFill>
                  <pic:spPr>
                    <a:xfrm>
                      <a:off x="0" y="0"/>
                      <a:ext cx="179486" cy="83820"/>
                    </a:xfrm>
                    <a:prstGeom prst="rect">
                      <a:avLst/>
                    </a:prstGeom>
                  </pic:spPr>
                </pic:pic>
              </a:graphicData>
            </a:graphic>
          </wp:anchor>
        </w:drawing>
      </w:r>
      <w:r>
        <w:rPr/>
        <w:pict>
          <v:group style="position:absolute;margin-left:321.119995pt;margin-top:21.579994pt;width:18.6pt;height:9pt;mso-position-horizontal-relative:page;mso-position-vertical-relative:paragraph;z-index:-251966464" coordorigin="6422,432" coordsize="372,180">
            <v:shape style="position:absolute;left:6422;top:431;width:194;height:180" type="#_x0000_t75" stroked="false">
              <v:imagedata r:id="rId16" o:title=""/>
            </v:shape>
            <v:shape style="position:absolute;left:6676;top:443;width:118;height:159" type="#_x0000_t75" stroked="false">
              <v:imagedata r:id="rId17" o:title=""/>
            </v:shape>
            <w10:wrap type="none"/>
          </v:group>
        </w:pict>
      </w:r>
      <w:r>
        <w:rPr/>
        <w:pict>
          <v:group style="position:absolute;margin-left:394.679993pt;margin-top:21.579994pt;width:31.6pt;height:9pt;mso-position-horizontal-relative:page;mso-position-vertical-relative:paragraph;z-index:-251965440" coordorigin="7894,432" coordsize="632,180">
            <v:shape style="position:absolute;left:7893;top:431;width:461;height:180" type="#_x0000_t75" stroked="false">
              <v:imagedata r:id="rId18" o:title=""/>
            </v:shape>
            <v:shape style="position:absolute;left:8407;top:443;width:118;height:159" type="#_x0000_t75" stroked="false">
              <v:imagedata r:id="rId17" o:title=""/>
            </v:shape>
            <w10:wrap type="none"/>
          </v:group>
        </w:pict>
      </w:r>
      <w:r>
        <w:rPr/>
        <w:t>该混频器是在0.12m发射极条纹宽度SiGe双极工艺中制造的</w:t>
        <w:tab/>
        <w:t>太赫兹和</w:t>
        <w:tab/>
      </w:r>
      <w:hyperlink w:history="true" w:anchor="_bookmark0">
        <w:r>
          <w:rPr/>
          <w:t>[1].</w:t>
        </w:r>
      </w:hyperlink>
      <w:r>
        <w:rPr/>
        <w:tab/>
        <w:t>其他技术特点包括</w:t>
      </w:r>
      <w:r>
        <w:rPr>
          <w:w w:val="95"/>
        </w:rPr>
        <w:t>薄膜金属电阻器和四层金属，两层厚的最终Al层，便于高 </w:t>
      </w:r>
      <w:r>
        <w:rPr/>
        <w:t>电感、传输线和金属绝缘体-金属(MIM)电容器。</w:t>
      </w:r>
      <w:r>
        <w:rPr>
          <w:spacing w:val="-4"/>
        </w:rPr>
        <w:t> </w:t>
      </w:r>
      <w:r>
        <w:rPr/>
        <w:t>在所使用的技术版本中，还没有任何MOSFET或相关器件。</w:t>
      </w:r>
    </w:p>
    <w:p>
      <w:pPr>
        <w:pStyle w:val="BodyText"/>
        <w:spacing w:line="252" w:lineRule="auto"/>
        <w:ind w:left="98" w:right="249" w:firstLine="196"/>
        <w:jc w:val="both"/>
      </w:pPr>
      <w:r>
        <w:rPr>
          <w:spacing w:val="2"/>
        </w:rPr>
        <w:t>参考图。 </w:t>
      </w:r>
      <w:r>
        <w:rPr/>
        <w:t>1</w:t>
      </w:r>
      <w:r>
        <w:rPr>
          <w:spacing w:val="3"/>
        </w:rPr>
        <w:t>.射频输入信号通过输入匹配网络应用于公</w:t>
      </w:r>
      <w:r>
        <w:rPr>
          <w:spacing w:val="15"/>
        </w:rPr>
        <w:t>共基输入级(</w:t>
      </w:r>
      <w:r>
        <w:rPr>
          <w:spacing w:val="6"/>
        </w:rPr>
        <w:t>Q1</w:t>
      </w:r>
      <w:r>
        <w:rPr>
          <w:spacing w:val="13"/>
        </w:rPr>
        <w:t>)，该输入级在</w:t>
      </w:r>
      <w:r>
        <w:rPr>
          <w:spacing w:val="3"/>
        </w:rPr>
        <w:t>3.2mA</w:t>
      </w:r>
      <w:r>
        <w:rPr>
          <w:spacing w:val="17"/>
        </w:rPr>
        <w:t>处有恒流源</w:t>
      </w:r>
      <w:r>
        <w:rPr/>
        <w:t>(Q2</w:t>
      </w:r>
      <w:r>
        <w:rPr>
          <w:spacing w:val="-32"/>
        </w:rPr>
        <w:t>) 偏</w:t>
      </w:r>
      <w:r>
        <w:rPr>
          <w:spacing w:val="9"/>
          <w:position w:val="2"/>
        </w:rPr>
        <w:t>置</w:t>
      </w:r>
      <w:r>
        <w:rPr>
          <w:position w:val="2"/>
        </w:rPr>
        <w:t>。</w:t>
      </w:r>
      <w:r>
        <w:rPr>
          <w:spacing w:val="13"/>
          <w:position w:val="2"/>
        </w:rPr>
        <w:t> </w:t>
      </w:r>
      <w:r>
        <w:rPr>
          <w:spacing w:val="9"/>
          <w:position w:val="2"/>
        </w:rPr>
        <w:t>电源电压为</w:t>
      </w:r>
      <w:r>
        <w:rPr>
          <w:position w:val="2"/>
        </w:rPr>
        <w:t>2.7V</w:t>
      </w:r>
      <w:r>
        <w:rPr>
          <w:spacing w:val="9"/>
          <w:position w:val="2"/>
        </w:rPr>
        <w:t>。</w:t>
      </w:r>
      <w:r>
        <w:rPr>
          <w:spacing w:val="9"/>
          <w:w w:val="99"/>
        </w:rPr>
        <w:drawing>
          <wp:inline distT="0" distB="0" distL="0" distR="0">
            <wp:extent cx="206002" cy="106679"/>
            <wp:effectExtent l="0" t="0" r="0" b="0"/>
            <wp:docPr id="9" name="image11.png"/>
            <wp:cNvGraphicFramePr>
              <a:graphicFrameLocks noChangeAspect="1"/>
            </wp:cNvGraphicFramePr>
            <a:graphic>
              <a:graphicData uri="http://schemas.openxmlformats.org/drawingml/2006/picture">
                <pic:pic>
                  <pic:nvPicPr>
                    <pic:cNvPr id="10" name="image11.png"/>
                    <pic:cNvPicPr/>
                  </pic:nvPicPr>
                  <pic:blipFill>
                    <a:blip r:embed="rId19" cstate="print"/>
                    <a:stretch>
                      <a:fillRect/>
                    </a:stretch>
                  </pic:blipFill>
                  <pic:spPr>
                    <a:xfrm>
                      <a:off x="0" y="0"/>
                      <a:ext cx="206002" cy="106679"/>
                    </a:xfrm>
                    <a:prstGeom prst="rect">
                      <a:avLst/>
                    </a:prstGeom>
                  </pic:spPr>
                </pic:pic>
              </a:graphicData>
            </a:graphic>
          </wp:inline>
        </w:drawing>
      </w:r>
      <w:r>
        <w:rPr>
          <w:spacing w:val="9"/>
          <w:w w:val="99"/>
        </w:rPr>
      </w:r>
      <w:r>
        <w:rPr>
          <w:spacing w:val="9"/>
          <w:position w:val="2"/>
        </w:rPr>
        <w:t>在仿真中，</w:t>
      </w:r>
      <w:r>
        <w:rPr>
          <w:spacing w:val="7"/>
          <w:position w:val="2"/>
        </w:rPr>
        <w:t>共</w:t>
      </w:r>
      <w:r>
        <w:rPr>
          <w:spacing w:val="9"/>
          <w:position w:val="2"/>
        </w:rPr>
        <w:t>基输入级的</w:t>
      </w:r>
      <w:r>
        <w:rPr>
          <w:position w:val="2"/>
        </w:rPr>
        <w:t>稳</w:t>
      </w:r>
      <w:r>
        <w:rPr>
          <w:spacing w:val="2"/>
        </w:rPr>
        <w:t>定性对寄生接地电感的敏感性小于共发射级。 虽然电感退化往往稳定一个共发射台阶段，但模拟测试夹具接地电感（包括输入网络和电源网络中增加的电感）的总体效果</w:t>
      </w:r>
      <w:r>
        <w:rPr>
          <w:spacing w:val="1"/>
        </w:rPr>
        <w:t>是去稳定共发射台阶段。 然而，在实验室测量中，无论</w:t>
      </w:r>
      <w:r>
        <w:rPr>
          <w:spacing w:val="2"/>
        </w:rPr>
        <w:t>是共同发射台还是共同基级都没有表现出不稳定性。 公</w:t>
      </w:r>
      <w:r>
        <w:rPr>
          <w:spacing w:val="8"/>
          <w:w w:val="95"/>
        </w:rPr>
        <w:t>共基级的选择也简化了输入匹配网络，并允许高线性。 </w:t>
      </w:r>
      <w:r>
        <w:rPr>
          <w:spacing w:val="5"/>
          <w:w w:val="95"/>
        </w:rPr>
        <w:t>输入匹配电感</w:t>
      </w:r>
      <w:r>
        <w:rPr>
          <w:w w:val="95"/>
        </w:rPr>
        <w:t>(L1</w:t>
      </w:r>
      <w:r>
        <w:rPr>
          <w:spacing w:val="4"/>
          <w:w w:val="95"/>
        </w:rPr>
        <w:t>)是衬底上</w:t>
      </w:r>
      <w:r>
        <w:rPr>
          <w:w w:val="95"/>
        </w:rPr>
        <w:t>100</w:t>
      </w:r>
      <w:r>
        <w:rPr>
          <w:spacing w:val="4"/>
          <w:w w:val="95"/>
        </w:rPr>
        <w:t>米长的顶层金属截面，</w:t>
      </w:r>
      <w:r>
        <w:rPr>
          <w:spacing w:val="3"/>
          <w:w w:val="95"/>
        </w:rPr>
        <w:t>L1 </w:t>
      </w:r>
      <w:r>
        <w:rPr/>
        <w:t>下的硅与氧化物填充的沟槽交叉连接。</w:t>
      </w:r>
    </w:p>
    <w:p>
      <w:pPr>
        <w:pStyle w:val="BodyText"/>
      </w:pPr>
    </w:p>
    <w:p>
      <w:pPr>
        <w:pStyle w:val="BodyText"/>
        <w:spacing w:before="10"/>
        <w:rPr>
          <w:sz w:val="14"/>
        </w:rPr>
      </w:pPr>
      <w:r>
        <w:rPr/>
        <w:drawing>
          <wp:anchor distT="0" distB="0" distL="0" distR="0" allowOverlap="1" layoutInCell="1" locked="0" behindDoc="0" simplePos="0" relativeHeight="0">
            <wp:simplePos x="0" y="0"/>
            <wp:positionH relativeFrom="page">
              <wp:posOffset>4536947</wp:posOffset>
            </wp:positionH>
            <wp:positionV relativeFrom="paragraph">
              <wp:posOffset>145278</wp:posOffset>
            </wp:positionV>
            <wp:extent cx="67846" cy="81724"/>
            <wp:effectExtent l="0" t="0" r="0" b="0"/>
            <wp:wrapTopAndBottom/>
            <wp:docPr id="11" name="image4.png"/>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67846" cy="81724"/>
                    </a:xfrm>
                    <a:prstGeom prst="rect">
                      <a:avLst/>
                    </a:prstGeom>
                  </pic:spPr>
                </pic:pic>
              </a:graphicData>
            </a:graphic>
          </wp:anchor>
        </w:drawing>
      </w:r>
    </w:p>
    <w:p>
      <w:pPr>
        <w:spacing w:after="0"/>
        <w:rPr>
          <w:sz w:val="14"/>
        </w:rPr>
        <w:sectPr>
          <w:type w:val="continuous"/>
          <w:pgSz w:w="11880" w:h="15840"/>
          <w:pgMar w:top="1160" w:bottom="240" w:left="660" w:right="580"/>
          <w:cols w:num="2" w:equalWidth="0">
            <w:col w:w="5226" w:space="40"/>
            <w:col w:w="5374"/>
          </w:cols>
        </w:sectPr>
      </w:pPr>
    </w:p>
    <w:p>
      <w:pPr>
        <w:pStyle w:val="BodyText"/>
        <w:spacing w:before="1"/>
        <w:rPr>
          <w:sz w:val="8"/>
        </w:rPr>
      </w:pPr>
    </w:p>
    <w:p>
      <w:pPr>
        <w:spacing w:before="78"/>
        <w:ind w:left="1785" w:right="1933" w:firstLine="0"/>
        <w:jc w:val="center"/>
        <w:rPr>
          <w:sz w:val="16"/>
        </w:rPr>
      </w:pPr>
      <w:r>
        <w:rPr>
          <w:sz w:val="16"/>
        </w:rPr>
        <w:t>0018-9200/04$2004年©20.00</w:t>
      </w:r>
    </w:p>
    <w:p>
      <w:pPr>
        <w:spacing w:after="0"/>
        <w:jc w:val="center"/>
        <w:rPr>
          <w:sz w:val="16"/>
        </w:rPr>
        <w:sectPr>
          <w:type w:val="continuous"/>
          <w:pgSz w:w="11880" w:h="15840"/>
          <w:pgMar w:top="1160" w:bottom="240" w:left="660" w:right="580"/>
        </w:sectPr>
      </w:pPr>
    </w:p>
    <w:p>
      <w:pPr>
        <w:pStyle w:val="BodyText"/>
        <w:spacing w:before="3" w:after="1"/>
        <w:rPr>
          <w:sz w:val="11"/>
        </w:rPr>
      </w:pPr>
    </w:p>
    <w:p>
      <w:pPr>
        <w:pStyle w:val="BodyText"/>
        <w:ind w:left="2289"/>
      </w:pPr>
      <w:r>
        <w:rPr/>
        <w:drawing>
          <wp:inline distT="0" distB="0" distL="0" distR="0">
            <wp:extent cx="3793236" cy="3154679"/>
            <wp:effectExtent l="0" t="0" r="0" b="0"/>
            <wp:docPr id="13" name="image12.png"/>
            <wp:cNvGraphicFramePr>
              <a:graphicFrameLocks noChangeAspect="1"/>
            </wp:cNvGraphicFramePr>
            <a:graphic>
              <a:graphicData uri="http://schemas.openxmlformats.org/drawingml/2006/picture">
                <pic:pic>
                  <pic:nvPicPr>
                    <pic:cNvPr id="14" name="image12.png"/>
                    <pic:cNvPicPr/>
                  </pic:nvPicPr>
                  <pic:blipFill>
                    <a:blip r:embed="rId20" cstate="print"/>
                    <a:stretch>
                      <a:fillRect/>
                    </a:stretch>
                  </pic:blipFill>
                  <pic:spPr>
                    <a:xfrm>
                      <a:off x="0" y="0"/>
                      <a:ext cx="3793236" cy="3154679"/>
                    </a:xfrm>
                    <a:prstGeom prst="rect">
                      <a:avLst/>
                    </a:prstGeom>
                  </pic:spPr>
                </pic:pic>
              </a:graphicData>
            </a:graphic>
          </wp:inline>
        </w:drawing>
      </w:r>
      <w:r>
        <w:rPr/>
      </w:r>
    </w:p>
    <w:p>
      <w:pPr>
        <w:pStyle w:val="BodyText"/>
        <w:spacing w:before="8"/>
        <w:rPr>
          <w:sz w:val="10"/>
        </w:rPr>
      </w:pPr>
    </w:p>
    <w:p>
      <w:pPr>
        <w:spacing w:before="79"/>
        <w:ind w:left="132" w:right="0" w:firstLine="0"/>
        <w:jc w:val="left"/>
        <w:rPr>
          <w:sz w:val="16"/>
        </w:rPr>
      </w:pPr>
      <w:r>
        <w:rPr>
          <w:sz w:val="16"/>
        </w:rPr>
        <w:t>无花果。 1. 混合器的简化原理图。 省略了输出缓冲器、偏置电路和电源解耦组件。</w:t>
      </w:r>
    </w:p>
    <w:p>
      <w:pPr>
        <w:pStyle w:val="BodyText"/>
        <w:spacing w:before="1"/>
        <w:rPr>
          <w:sz w:val="17"/>
        </w:rPr>
      </w:pPr>
    </w:p>
    <w:p>
      <w:pPr>
        <w:spacing w:after="0"/>
        <w:rPr>
          <w:sz w:val="17"/>
        </w:rPr>
        <w:sectPr>
          <w:pgSz w:w="11880" w:h="15840"/>
          <w:pgMar w:header="654" w:footer="50" w:top="1160" w:bottom="240" w:left="660" w:right="580"/>
        </w:sectPr>
      </w:pPr>
    </w:p>
    <w:p>
      <w:pPr>
        <w:pStyle w:val="BodyText"/>
        <w:spacing w:line="252" w:lineRule="auto" w:before="71"/>
        <w:ind w:left="132" w:right="38" w:firstLine="199"/>
        <w:jc w:val="right"/>
      </w:pPr>
      <w:r>
        <w:rPr/>
        <w:drawing>
          <wp:anchor distT="0" distB="0" distL="0" distR="0" allowOverlap="1" layoutInCell="1" locked="0" behindDoc="1" simplePos="0" relativeHeight="251353088">
            <wp:simplePos x="0" y="0"/>
            <wp:positionH relativeFrom="page">
              <wp:posOffset>1703832</wp:posOffset>
            </wp:positionH>
            <wp:positionV relativeFrom="paragraph">
              <wp:posOffset>890778</wp:posOffset>
            </wp:positionV>
            <wp:extent cx="79248" cy="88391"/>
            <wp:effectExtent l="0" t="0" r="0" b="0"/>
            <wp:wrapNone/>
            <wp:docPr id="15" name="image13.png"/>
            <wp:cNvGraphicFramePr>
              <a:graphicFrameLocks noChangeAspect="1"/>
            </wp:cNvGraphicFramePr>
            <a:graphic>
              <a:graphicData uri="http://schemas.openxmlformats.org/drawingml/2006/picture">
                <pic:pic>
                  <pic:nvPicPr>
                    <pic:cNvPr id="16" name="image13.png"/>
                    <pic:cNvPicPr/>
                  </pic:nvPicPr>
                  <pic:blipFill>
                    <a:blip r:embed="rId21" cstate="print"/>
                    <a:stretch>
                      <a:fillRect/>
                    </a:stretch>
                  </pic:blipFill>
                  <pic:spPr>
                    <a:xfrm>
                      <a:off x="0" y="0"/>
                      <a:ext cx="79248" cy="88391"/>
                    </a:xfrm>
                    <a:prstGeom prst="rect">
                      <a:avLst/>
                    </a:prstGeom>
                  </pic:spPr>
                </pic:pic>
              </a:graphicData>
            </a:graphic>
          </wp:anchor>
        </w:drawing>
      </w:r>
      <w:r>
        <w:rPr/>
        <w:drawing>
          <wp:anchor distT="0" distB="0" distL="0" distR="0" allowOverlap="1" layoutInCell="1" locked="0" behindDoc="1" simplePos="0" relativeHeight="251354112">
            <wp:simplePos x="0" y="0"/>
            <wp:positionH relativeFrom="page">
              <wp:posOffset>3387852</wp:posOffset>
            </wp:positionH>
            <wp:positionV relativeFrom="paragraph">
              <wp:posOffset>1041654</wp:posOffset>
            </wp:positionV>
            <wp:extent cx="79248" cy="88391"/>
            <wp:effectExtent l="0" t="0" r="0" b="0"/>
            <wp:wrapNone/>
            <wp:docPr id="17" name="image13.png"/>
            <wp:cNvGraphicFramePr>
              <a:graphicFrameLocks noChangeAspect="1"/>
            </wp:cNvGraphicFramePr>
            <a:graphic>
              <a:graphicData uri="http://schemas.openxmlformats.org/drawingml/2006/picture">
                <pic:pic>
                  <pic:nvPicPr>
                    <pic:cNvPr id="18" name="image13.png"/>
                    <pic:cNvPicPr/>
                  </pic:nvPicPr>
                  <pic:blipFill>
                    <a:blip r:embed="rId21" cstate="print"/>
                    <a:stretch>
                      <a:fillRect/>
                    </a:stretch>
                  </pic:blipFill>
                  <pic:spPr>
                    <a:xfrm>
                      <a:off x="0" y="0"/>
                      <a:ext cx="79248" cy="88391"/>
                    </a:xfrm>
                    <a:prstGeom prst="rect">
                      <a:avLst/>
                    </a:prstGeom>
                  </pic:spPr>
                </pic:pic>
              </a:graphicData>
            </a:graphic>
          </wp:anchor>
        </w:drawing>
      </w:r>
      <w:r>
        <w:rPr/>
        <w:drawing>
          <wp:anchor distT="0" distB="0" distL="0" distR="0" allowOverlap="1" layoutInCell="1" locked="0" behindDoc="1" simplePos="0" relativeHeight="251355136">
            <wp:simplePos x="0" y="0"/>
            <wp:positionH relativeFrom="page">
              <wp:posOffset>3093720</wp:posOffset>
            </wp:positionH>
            <wp:positionV relativeFrom="paragraph">
              <wp:posOffset>1649730</wp:posOffset>
            </wp:positionV>
            <wp:extent cx="79248" cy="88391"/>
            <wp:effectExtent l="0" t="0" r="0" b="0"/>
            <wp:wrapNone/>
            <wp:docPr id="19" name="image13.png"/>
            <wp:cNvGraphicFramePr>
              <a:graphicFrameLocks noChangeAspect="1"/>
            </wp:cNvGraphicFramePr>
            <a:graphic>
              <a:graphicData uri="http://schemas.openxmlformats.org/drawingml/2006/picture">
                <pic:pic>
                  <pic:nvPicPr>
                    <pic:cNvPr id="20" name="image13.png"/>
                    <pic:cNvPicPr/>
                  </pic:nvPicPr>
                  <pic:blipFill>
                    <a:blip r:embed="rId21" cstate="print"/>
                    <a:stretch>
                      <a:fillRect/>
                    </a:stretch>
                  </pic:blipFill>
                  <pic:spPr>
                    <a:xfrm>
                      <a:off x="0" y="0"/>
                      <a:ext cx="79248" cy="88391"/>
                    </a:xfrm>
                    <a:prstGeom prst="rect">
                      <a:avLst/>
                    </a:prstGeom>
                  </pic:spPr>
                </pic:pic>
              </a:graphicData>
            </a:graphic>
          </wp:anchor>
        </w:drawing>
      </w:r>
      <w:r>
        <w:rPr>
          <w:spacing w:val="11"/>
          <w:w w:val="95"/>
        </w:rPr>
        <w:t>混频器开关是从片外驱动的，</w:t>
      </w:r>
      <w:r>
        <w:rPr>
          <w:spacing w:val="7"/>
          <w:w w:val="95"/>
        </w:rPr>
        <w:t>LO</w:t>
      </w:r>
      <w:r>
        <w:rPr>
          <w:spacing w:val="12"/>
          <w:w w:val="95"/>
        </w:rPr>
        <w:t>信号在</w:t>
      </w:r>
      <w:r>
        <w:rPr>
          <w:w w:val="95"/>
        </w:rPr>
        <w:t>48-56GHz</w:t>
      </w:r>
      <w:r>
        <w:rPr>
          <w:spacing w:val="6"/>
          <w:w w:val="95"/>
        </w:rPr>
        <w:t>范围 </w:t>
      </w:r>
      <w:r>
        <w:rPr>
          <w:spacing w:val="2"/>
        </w:rPr>
        <w:t>内，取决于射频输入频率。 利用微带传输线将</w:t>
      </w:r>
      <w:r>
        <w:rPr>
          <w:spacing w:val="3"/>
        </w:rPr>
        <w:t>LO</w:t>
      </w:r>
      <w:r>
        <w:rPr>
          <w:spacing w:val="-1"/>
        </w:rPr>
        <w:t>信号路</w:t>
      </w:r>
      <w:r>
        <w:rPr>
          <w:w w:val="95"/>
        </w:rPr>
        <w:t>由在芯片上，微带传输线在混频器开关附近被电阻终止。 </w:t>
      </w:r>
      <w:r>
        <w:rPr>
          <w:spacing w:val="9"/>
          <w:w w:val="95"/>
        </w:rPr>
        <w:t>混合器的调谐</w:t>
      </w:r>
      <w:r>
        <w:rPr>
          <w:spacing w:val="3"/>
          <w:w w:val="95"/>
        </w:rPr>
        <w:t>RLC</w:t>
      </w:r>
      <w:r>
        <w:rPr>
          <w:spacing w:val="9"/>
          <w:w w:val="95"/>
        </w:rPr>
        <w:t>负载</w:t>
      </w:r>
      <w:r>
        <w:rPr>
          <w:w w:val="95"/>
        </w:rPr>
        <w:t>(L2-R4-TL3</w:t>
      </w:r>
      <w:r>
        <w:rPr>
          <w:spacing w:val="9"/>
          <w:w w:val="95"/>
        </w:rPr>
        <w:t>和</w:t>
      </w:r>
      <w:r>
        <w:rPr>
          <w:w w:val="95"/>
        </w:rPr>
        <w:t>L3-R5-TL4</w:t>
      </w:r>
      <w:r>
        <w:rPr>
          <w:spacing w:val="2"/>
          <w:w w:val="95"/>
        </w:rPr>
        <w:t>)被设计 </w:t>
      </w:r>
      <w:r>
        <w:rPr/>
        <w:t>成在约8.8GHz的共振。 负载电阻R4</w:t>
      </w:r>
      <w:r>
        <w:rPr>
          <w:spacing w:val="5"/>
        </w:rPr>
        <w:t>和</w:t>
      </w:r>
      <w:r>
        <w:rPr/>
        <w:t>R5为300，因此采用</w:t>
      </w:r>
      <w:r>
        <w:rPr>
          <w:spacing w:val="7"/>
          <w:w w:val="95"/>
        </w:rPr>
        <w:t>统</w:t>
      </w:r>
      <w:r>
        <w:rPr>
          <w:spacing w:val="5"/>
          <w:w w:val="95"/>
        </w:rPr>
        <w:t>一电压增益输出缓冲器驱动具有</w:t>
      </w:r>
      <w:r>
        <w:rPr>
          <w:w w:val="95"/>
        </w:rPr>
        <w:t>100</w:t>
      </w:r>
      <w:r>
        <w:rPr>
          <w:spacing w:val="3"/>
          <w:w w:val="95"/>
        </w:rPr>
        <w:t>差分输入阻抗的片 </w:t>
      </w:r>
      <w:r>
        <w:rPr>
          <w:spacing w:val="7"/>
        </w:rPr>
        <w:t>外</w:t>
      </w:r>
      <w:r>
        <w:rPr/>
        <w:t>测试设备。 输出缓冲器由一个具有感应负载的电阻退化</w:t>
      </w:r>
      <w:r>
        <w:rPr>
          <w:spacing w:val="5"/>
        </w:rPr>
        <w:t>微分对组成，偏置在</w:t>
      </w:r>
      <w:r>
        <w:rPr/>
        <w:t>16mA。 缓冲器具有较高的输出阻抗</w:t>
      </w:r>
      <w:r>
        <w:rPr>
          <w:spacing w:val="9"/>
        </w:rPr>
        <w:t>，设计用于操作到外部</w:t>
      </w:r>
      <w:r>
        <w:rPr>
          <w:spacing w:val="3"/>
        </w:rPr>
        <w:t>100</w:t>
      </w:r>
      <w:r>
        <w:rPr>
          <w:spacing w:val="4"/>
        </w:rPr>
        <w:t>负载。 输出缓冲器仅供测</w:t>
      </w:r>
      <w:r>
        <w:rPr/>
        <w:t>试，因为在更高集成的接收电路中，混频器输出将驱动以下IF</w:t>
      </w:r>
      <w:r>
        <w:rPr>
          <w:spacing w:val="1"/>
        </w:rPr>
        <w:t>放大器而不离开芯片。 将输出缓冲器的输入电容吸收到混频器负载电容中。 由于混合器所需的附加显式负</w:t>
      </w:r>
      <w:r>
        <w:rPr>
          <w:spacing w:val="12"/>
          <w:w w:val="95"/>
        </w:rPr>
        <w:t>载</w:t>
      </w:r>
      <w:r>
        <w:rPr>
          <w:spacing w:val="9"/>
          <w:w w:val="95"/>
        </w:rPr>
        <w:t>电容较小，因此电容器是通过开路微带传输线</w:t>
      </w:r>
      <w:r>
        <w:rPr>
          <w:spacing w:val="2"/>
          <w:w w:val="95"/>
        </w:rPr>
        <w:t>(TL3</w:t>
      </w:r>
      <w:r>
        <w:rPr>
          <w:w w:val="95"/>
        </w:rPr>
        <w:t>和</w:t>
      </w:r>
      <w:r>
        <w:rPr/>
        <w:t>TL4)的短长度来实现的)。 增加显式负载电容，而不是使</w:t>
      </w:r>
      <w:r>
        <w:rPr>
          <w:w w:val="99"/>
        </w:rPr>
        <w:t> </w:t>
      </w:r>
      <w:r>
        <w:rPr/>
        <w:t>L2和L3更大，因为它使谐振频率对这些节点上的寄生电容</w:t>
      </w:r>
    </w:p>
    <w:p>
      <w:pPr>
        <w:pStyle w:val="BodyText"/>
        <w:spacing w:before="1"/>
        <w:ind w:left="132"/>
      </w:pPr>
      <w:r>
        <w:rPr/>
        <w:t>量不太敏感。</w:t>
      </w:r>
    </w:p>
    <w:p>
      <w:pPr>
        <w:pStyle w:val="BodyText"/>
        <w:spacing w:before="2"/>
      </w:pPr>
    </w:p>
    <w:p>
      <w:pPr>
        <w:pStyle w:val="ListParagraph"/>
        <w:numPr>
          <w:ilvl w:val="0"/>
          <w:numId w:val="1"/>
        </w:numPr>
        <w:tabs>
          <w:tab w:pos="1438" w:val="left" w:leader="none"/>
        </w:tabs>
        <w:spacing w:line="240" w:lineRule="auto" w:before="1" w:after="0"/>
        <w:ind w:left="1437" w:right="0" w:hanging="351"/>
        <w:jc w:val="left"/>
        <w:rPr>
          <w:sz w:val="16"/>
        </w:rPr>
      </w:pPr>
      <w:r>
        <w:rPr>
          <w:spacing w:val="-2"/>
          <w:sz w:val="16"/>
        </w:rPr>
        <w:t>测量和讨论</w:t>
      </w:r>
    </w:p>
    <w:p>
      <w:pPr>
        <w:pStyle w:val="BodyText"/>
        <w:spacing w:line="252" w:lineRule="auto" w:before="112"/>
        <w:ind w:left="132" w:right="60" w:firstLine="196"/>
        <w:jc w:val="both"/>
      </w:pPr>
      <w:r>
        <w:rPr/>
        <w:drawing>
          <wp:anchor distT="0" distB="0" distL="0" distR="0" allowOverlap="1" layoutInCell="1" locked="0" behindDoc="1" simplePos="0" relativeHeight="251356160">
            <wp:simplePos x="0" y="0"/>
            <wp:positionH relativeFrom="page">
              <wp:posOffset>3605784</wp:posOffset>
            </wp:positionH>
            <wp:positionV relativeFrom="paragraph">
              <wp:posOffset>403225</wp:posOffset>
            </wp:positionV>
            <wp:extent cx="79248" cy="88392"/>
            <wp:effectExtent l="0" t="0" r="0" b="0"/>
            <wp:wrapNone/>
            <wp:docPr id="21" name="image13.png"/>
            <wp:cNvGraphicFramePr>
              <a:graphicFrameLocks noChangeAspect="1"/>
            </wp:cNvGraphicFramePr>
            <a:graphic>
              <a:graphicData uri="http://schemas.openxmlformats.org/drawingml/2006/picture">
                <pic:pic>
                  <pic:nvPicPr>
                    <pic:cNvPr id="22" name="image13.png"/>
                    <pic:cNvPicPr/>
                  </pic:nvPicPr>
                  <pic:blipFill>
                    <a:blip r:embed="rId21" cstate="print"/>
                    <a:stretch>
                      <a:fillRect/>
                    </a:stretch>
                  </pic:blipFill>
                  <pic:spPr>
                    <a:xfrm>
                      <a:off x="0" y="0"/>
                      <a:ext cx="79248" cy="88392"/>
                    </a:xfrm>
                    <a:prstGeom prst="rect">
                      <a:avLst/>
                    </a:prstGeom>
                  </pic:spPr>
                </pic:pic>
              </a:graphicData>
            </a:graphic>
          </wp:anchor>
        </w:drawing>
      </w:r>
      <w:r>
        <w:rPr/>
        <w:t>用共面波导探针在射频、LO和IF信号的地面信号-地面配置中对混频器进行了晶片探测测试。 为了测试目的， </w:t>
      </w:r>
      <w:r>
        <w:rPr>
          <w:w w:val="95"/>
        </w:rPr>
        <w:t>缓冲器的100平衡输出驱动混合耦合器，将信号转换为50-</w:t>
      </w:r>
    </w:p>
    <w:p>
      <w:pPr>
        <w:pStyle w:val="BodyText"/>
        <w:spacing w:line="252" w:lineRule="auto"/>
        <w:ind w:left="132" w:right="62" w:firstLine="2565"/>
        <w:jc w:val="both"/>
      </w:pPr>
      <w:r>
        <w:rPr/>
        <w:drawing>
          <wp:anchor distT="0" distB="0" distL="0" distR="0" allowOverlap="1" layoutInCell="1" locked="0" behindDoc="1" simplePos="0" relativeHeight="251357184">
            <wp:simplePos x="0" y="0"/>
            <wp:positionH relativeFrom="page">
              <wp:posOffset>2007107</wp:posOffset>
            </wp:positionH>
            <wp:positionV relativeFrom="paragraph">
              <wp:posOffset>123316</wp:posOffset>
            </wp:positionV>
            <wp:extent cx="79248" cy="88392"/>
            <wp:effectExtent l="0" t="0" r="0" b="0"/>
            <wp:wrapNone/>
            <wp:docPr id="23" name="image13.png"/>
            <wp:cNvGraphicFramePr>
              <a:graphicFrameLocks noChangeAspect="1"/>
            </wp:cNvGraphicFramePr>
            <a:graphic>
              <a:graphicData uri="http://schemas.openxmlformats.org/drawingml/2006/picture">
                <pic:pic>
                  <pic:nvPicPr>
                    <pic:cNvPr id="24" name="image13.png"/>
                    <pic:cNvPicPr/>
                  </pic:nvPicPr>
                  <pic:blipFill>
                    <a:blip r:embed="rId21" cstate="print"/>
                    <a:stretch>
                      <a:fillRect/>
                    </a:stretch>
                  </pic:blipFill>
                  <pic:spPr>
                    <a:xfrm>
                      <a:off x="0" y="0"/>
                      <a:ext cx="79248" cy="88392"/>
                    </a:xfrm>
                    <a:prstGeom prst="rect">
                      <a:avLst/>
                    </a:prstGeom>
                  </pic:spPr>
                </pic:pic>
              </a:graphicData>
            </a:graphic>
          </wp:anchor>
        </w:drawing>
      </w:r>
      <w:r>
        <w:rPr/>
        <w:drawing>
          <wp:anchor distT="0" distB="0" distL="0" distR="0" allowOverlap="1" layoutInCell="1" locked="0" behindDoc="1" simplePos="0" relativeHeight="251358208">
            <wp:simplePos x="0" y="0"/>
            <wp:positionH relativeFrom="page">
              <wp:posOffset>3017520</wp:posOffset>
            </wp:positionH>
            <wp:positionV relativeFrom="paragraph">
              <wp:posOffset>275716</wp:posOffset>
            </wp:positionV>
            <wp:extent cx="79248" cy="88392"/>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79248" cy="88392"/>
                    </a:xfrm>
                    <a:prstGeom prst="rect">
                      <a:avLst/>
                    </a:prstGeom>
                  </pic:spPr>
                </pic:pic>
              </a:graphicData>
            </a:graphic>
          </wp:anchor>
        </w:drawing>
      </w:r>
      <w:r>
        <w:rPr/>
        <w:t>不平衡信号驱动我们的测试</w:t>
      </w:r>
      <w:r>
        <w:rPr>
          <w:spacing w:val="-3"/>
        </w:rPr>
        <w:t>设备。 为了为输出缓冲器创建精确的</w:t>
      </w:r>
      <w:r>
        <w:rPr/>
        <w:t>100差分负载，在每</w:t>
      </w:r>
      <w:r>
        <w:rPr>
          <w:w w:val="95"/>
        </w:rPr>
        <w:t>个缓冲器的输出和混合耦合器的输入之间使用了6-dB电阻 </w:t>
      </w:r>
      <w:r>
        <w:rPr/>
        <w:t>衰减器。 输出IF路径的总损耗约为7dB，</w:t>
      </w:r>
    </w:p>
    <w:p>
      <w:pPr>
        <w:pStyle w:val="BodyText"/>
        <w:spacing w:before="5"/>
        <w:rPr>
          <w:sz w:val="5"/>
        </w:rPr>
      </w:pPr>
      <w:r>
        <w:rPr/>
        <w:br w:type="column"/>
      </w:r>
      <w:r>
        <w:rPr>
          <w:sz w:val="5"/>
        </w:rPr>
      </w:r>
    </w:p>
    <w:p>
      <w:pPr>
        <w:pStyle w:val="BodyText"/>
        <w:ind w:left="184"/>
      </w:pPr>
      <w:r>
        <w:rPr/>
        <w:drawing>
          <wp:inline distT="0" distB="0" distL="0" distR="0">
            <wp:extent cx="3121152" cy="1937003"/>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3121152" cy="1937003"/>
                    </a:xfrm>
                    <a:prstGeom prst="rect">
                      <a:avLst/>
                    </a:prstGeom>
                  </pic:spPr>
                </pic:pic>
              </a:graphicData>
            </a:graphic>
          </wp:inline>
        </w:drawing>
      </w:r>
      <w:r>
        <w:rPr/>
      </w:r>
    </w:p>
    <w:p>
      <w:pPr>
        <w:pStyle w:val="BodyText"/>
        <w:spacing w:before="3"/>
        <w:rPr>
          <w:sz w:val="15"/>
        </w:rPr>
      </w:pPr>
    </w:p>
    <w:p>
      <w:pPr>
        <w:spacing w:before="0"/>
        <w:ind w:left="132" w:right="221" w:firstLine="0"/>
        <w:jc w:val="both"/>
        <w:rPr>
          <w:sz w:val="16"/>
        </w:rPr>
      </w:pPr>
      <w:r>
        <w:rPr>
          <w:sz w:val="16"/>
        </w:rPr>
        <w:t>无花果。 2. 测量和模拟混频器的电压转换增益与中频，LO频率保持在51.3GHz。</w:t>
      </w:r>
    </w:p>
    <w:p>
      <w:pPr>
        <w:pStyle w:val="BodyText"/>
        <w:rPr>
          <w:sz w:val="16"/>
        </w:rPr>
      </w:pPr>
    </w:p>
    <w:p>
      <w:pPr>
        <w:pStyle w:val="BodyText"/>
        <w:spacing w:line="252" w:lineRule="auto" w:before="123"/>
        <w:ind w:left="132" w:right="222"/>
        <w:jc w:val="both"/>
      </w:pPr>
      <w:r>
        <w:rPr/>
        <w:t>包括耦合器的一维B插入损耗。 测量也进行了调整，以考虑探头的频率相关损耗(60GHz时约为0.9dB)和同轴电缆。射频输入路径的总损耗约为3.9dB。 没有芯片上的损失被去嵌入。</w:t>
      </w:r>
    </w:p>
    <w:p>
      <w:pPr>
        <w:pStyle w:val="BodyText"/>
        <w:spacing w:line="252" w:lineRule="auto"/>
        <w:ind w:left="132" w:right="222" w:firstLine="199"/>
        <w:jc w:val="both"/>
      </w:pPr>
      <w:r>
        <w:rPr/>
        <w:drawing>
          <wp:anchor distT="0" distB="0" distL="0" distR="0" allowOverlap="1" layoutInCell="1" locked="0" behindDoc="1" simplePos="0" relativeHeight="251359232">
            <wp:simplePos x="0" y="0"/>
            <wp:positionH relativeFrom="page">
              <wp:posOffset>4465320</wp:posOffset>
            </wp:positionH>
            <wp:positionV relativeFrom="paragraph">
              <wp:posOffset>787793</wp:posOffset>
            </wp:positionV>
            <wp:extent cx="79248" cy="88391"/>
            <wp:effectExtent l="0" t="0" r="0" b="0"/>
            <wp:wrapNone/>
            <wp:docPr id="29" name="image13.png"/>
            <wp:cNvGraphicFramePr>
              <a:graphicFrameLocks noChangeAspect="1"/>
            </wp:cNvGraphicFramePr>
            <a:graphic>
              <a:graphicData uri="http://schemas.openxmlformats.org/drawingml/2006/picture">
                <pic:pic>
                  <pic:nvPicPr>
                    <pic:cNvPr id="30" name="image13.png"/>
                    <pic:cNvPicPr/>
                  </pic:nvPicPr>
                  <pic:blipFill>
                    <a:blip r:embed="rId21" cstate="print"/>
                    <a:stretch>
                      <a:fillRect/>
                    </a:stretch>
                  </pic:blipFill>
                  <pic:spPr>
                    <a:xfrm>
                      <a:off x="0" y="0"/>
                      <a:ext cx="79248" cy="88391"/>
                    </a:xfrm>
                    <a:prstGeom prst="rect">
                      <a:avLst/>
                    </a:prstGeom>
                  </pic:spPr>
                </pic:pic>
              </a:graphicData>
            </a:graphic>
          </wp:anchor>
        </w:drawing>
      </w:r>
      <w:r>
        <w:rPr/>
        <w:t>无花果。 给出了混频器的测量和模拟电压转换增益作为中频频率的函数，LO频率保持在51.3GHz。 从混频器的</w:t>
      </w:r>
      <w:r>
        <w:rPr>
          <w:spacing w:val="8"/>
          <w:w w:val="95"/>
        </w:rPr>
        <w:t>射频输入到耦合器的不平衡输出，测量插入功率增益。 </w:t>
      </w:r>
      <w:r>
        <w:rPr>
          <w:spacing w:val="6"/>
          <w:w w:val="95"/>
        </w:rPr>
        <w:t>通过增加</w:t>
      </w:r>
      <w:r>
        <w:rPr>
          <w:w w:val="95"/>
        </w:rPr>
        <w:t>3dB</w:t>
      </w:r>
      <w:r>
        <w:rPr>
          <w:spacing w:val="7"/>
          <w:w w:val="95"/>
        </w:rPr>
        <w:t>来考虑</w:t>
      </w:r>
      <w:r>
        <w:rPr>
          <w:w w:val="95"/>
        </w:rPr>
        <w:t>100-50</w:t>
      </w:r>
      <w:r>
        <w:rPr>
          <w:spacing w:val="4"/>
          <w:w w:val="95"/>
        </w:rPr>
        <w:t>阻抗变换，这个功率增益被转 </w:t>
      </w:r>
      <w:r>
        <w:rPr>
          <w:spacing w:val="4"/>
        </w:rPr>
        <w:t>换为电压转换增益，这可以被认为是混频器输出的差分中</w:t>
      </w:r>
      <w:r>
        <w:rPr>
          <w:spacing w:val="2"/>
        </w:rPr>
        <w:t>频信号电压与混频器输入的射频信号电压的比值。 这是</w:t>
      </w:r>
      <w:r>
        <w:rPr/>
        <w:t>混频器的输出电压，在我们的系统中是相关的，因为混频</w:t>
      </w:r>
      <w:r>
        <w:rPr>
          <w:spacing w:val="2"/>
        </w:rPr>
        <w:t>器的输出不是阻抗匹配到下面的阶段。 级联混频器和输</w:t>
      </w:r>
      <w:r>
        <w:rPr>
          <w:spacing w:val="8"/>
          <w:w w:val="95"/>
        </w:rPr>
        <w:t>出缓冲器的功率转换增益可以通过从输入的数据中减去</w:t>
      </w:r>
      <w:r>
        <w:rPr>
          <w:spacing w:val="8"/>
        </w:rPr>
        <w:t>3dB来获得</w:t>
      </w:r>
    </w:p>
    <w:p>
      <w:pPr>
        <w:spacing w:after="0" w:line="252" w:lineRule="auto"/>
        <w:jc w:val="both"/>
        <w:sectPr>
          <w:type w:val="continuous"/>
          <w:pgSz w:w="11880" w:h="15840"/>
          <w:pgMar w:top="1160" w:bottom="240" w:left="660" w:right="580"/>
          <w:cols w:num="2" w:equalWidth="0">
            <w:col w:w="5196" w:space="63"/>
            <w:col w:w="5381"/>
          </w:cols>
        </w:sectPr>
      </w:pPr>
    </w:p>
    <w:p>
      <w:pPr>
        <w:pStyle w:val="BodyText"/>
        <w:spacing w:before="12"/>
        <w:rPr>
          <w:sz w:val="9"/>
        </w:rPr>
      </w:pPr>
    </w:p>
    <w:p>
      <w:pPr>
        <w:pStyle w:val="BodyText"/>
        <w:tabs>
          <w:tab w:pos="5937" w:val="left" w:leader="none"/>
        </w:tabs>
        <w:ind w:left="103"/>
      </w:pPr>
      <w:r>
        <w:rPr>
          <w:position w:val="4"/>
        </w:rPr>
        <w:drawing>
          <wp:inline distT="0" distB="0" distL="0" distR="0">
            <wp:extent cx="3221736" cy="1973579"/>
            <wp:effectExtent l="0" t="0" r="0" b="0"/>
            <wp:docPr id="37" name="image16.png"/>
            <wp:cNvGraphicFramePr>
              <a:graphicFrameLocks noChangeAspect="1"/>
            </wp:cNvGraphicFramePr>
            <a:graphic>
              <a:graphicData uri="http://schemas.openxmlformats.org/drawingml/2006/picture">
                <pic:pic>
                  <pic:nvPicPr>
                    <pic:cNvPr id="38" name="image16.png"/>
                    <pic:cNvPicPr/>
                  </pic:nvPicPr>
                  <pic:blipFill>
                    <a:blip r:embed="rId25" cstate="print"/>
                    <a:stretch>
                      <a:fillRect/>
                    </a:stretch>
                  </pic:blipFill>
                  <pic:spPr>
                    <a:xfrm>
                      <a:off x="0" y="0"/>
                      <a:ext cx="3221736" cy="1973579"/>
                    </a:xfrm>
                    <a:prstGeom prst="rect">
                      <a:avLst/>
                    </a:prstGeom>
                  </pic:spPr>
                </pic:pic>
              </a:graphicData>
            </a:graphic>
          </wp:inline>
        </w:drawing>
      </w:r>
      <w:r>
        <w:rPr>
          <w:position w:val="4"/>
        </w:rPr>
      </w:r>
      <w:r>
        <w:rPr>
          <w:position w:val="4"/>
        </w:rPr>
        <w:tab/>
      </w:r>
      <w:r>
        <w:rPr/>
        <w:drawing>
          <wp:inline distT="0" distB="0" distL="0" distR="0">
            <wp:extent cx="2458212" cy="1985772"/>
            <wp:effectExtent l="0" t="0" r="0" b="0"/>
            <wp:docPr id="39" name="image17.png"/>
            <wp:cNvGraphicFramePr>
              <a:graphicFrameLocks noChangeAspect="1"/>
            </wp:cNvGraphicFramePr>
            <a:graphic>
              <a:graphicData uri="http://schemas.openxmlformats.org/drawingml/2006/picture">
                <pic:pic>
                  <pic:nvPicPr>
                    <pic:cNvPr id="40" name="image17.png"/>
                    <pic:cNvPicPr/>
                  </pic:nvPicPr>
                  <pic:blipFill>
                    <a:blip r:embed="rId26" cstate="print"/>
                    <a:stretch>
                      <a:fillRect/>
                    </a:stretch>
                  </pic:blipFill>
                  <pic:spPr>
                    <a:xfrm>
                      <a:off x="0" y="0"/>
                      <a:ext cx="2458212" cy="1985772"/>
                    </a:xfrm>
                    <a:prstGeom prst="rect">
                      <a:avLst/>
                    </a:prstGeom>
                  </pic:spPr>
                </pic:pic>
              </a:graphicData>
            </a:graphic>
          </wp:inline>
        </w:drawing>
      </w:r>
      <w:r>
        <w:rPr/>
      </w:r>
    </w:p>
    <w:p>
      <w:pPr>
        <w:pStyle w:val="BodyText"/>
        <w:spacing w:before="3"/>
        <w:rPr>
          <w:sz w:val="16"/>
        </w:rPr>
      </w:pPr>
    </w:p>
    <w:p>
      <w:pPr>
        <w:spacing w:after="0"/>
        <w:rPr>
          <w:sz w:val="16"/>
        </w:rPr>
        <w:sectPr>
          <w:footerReference w:type="default" r:id="rId23"/>
          <w:footerReference w:type="even" r:id="rId24"/>
          <w:pgSz w:w="11880" w:h="15840"/>
          <w:pgMar w:footer="1402" w:header="654" w:top="1160" w:bottom="1600" w:left="660" w:right="580"/>
        </w:sectPr>
      </w:pPr>
    </w:p>
    <w:p>
      <w:pPr>
        <w:spacing w:before="78"/>
        <w:ind w:left="100" w:right="90" w:firstLine="0"/>
        <w:jc w:val="both"/>
        <w:rPr>
          <w:sz w:val="16"/>
        </w:rPr>
      </w:pPr>
      <w:r>
        <w:rPr>
          <w:sz w:val="16"/>
        </w:rPr>
        <w:t>无花果。 3. 测量和模拟了混频器的上SSBNF与射频输入频率的关系， IF保持在8.75GHz。</w:t>
      </w:r>
    </w:p>
    <w:p>
      <w:pPr>
        <w:pStyle w:val="BodyText"/>
        <w:rPr>
          <w:sz w:val="16"/>
        </w:rPr>
      </w:pPr>
    </w:p>
    <w:p>
      <w:pPr>
        <w:pStyle w:val="BodyText"/>
        <w:spacing w:before="7"/>
        <w:rPr>
          <w:sz w:val="13"/>
        </w:rPr>
      </w:pPr>
    </w:p>
    <w:p>
      <w:pPr>
        <w:pStyle w:val="BodyText"/>
        <w:spacing w:line="252" w:lineRule="auto"/>
        <w:ind w:left="100" w:right="88"/>
        <w:jc w:val="both"/>
      </w:pPr>
      <w:r>
        <w:rPr/>
        <w:drawing>
          <wp:anchor distT="0" distB="0" distL="0" distR="0" allowOverlap="1" layoutInCell="1" locked="0" behindDoc="1" simplePos="0" relativeHeight="251361280">
            <wp:simplePos x="0" y="0"/>
            <wp:positionH relativeFrom="page">
              <wp:posOffset>3208020</wp:posOffset>
            </wp:positionH>
            <wp:positionV relativeFrom="paragraph">
              <wp:posOffset>234568</wp:posOffset>
            </wp:positionV>
            <wp:extent cx="74676" cy="6096"/>
            <wp:effectExtent l="0" t="0" r="0" b="0"/>
            <wp:wrapNone/>
            <wp:docPr id="41" name="image3.png"/>
            <wp:cNvGraphicFramePr>
              <a:graphicFrameLocks noChangeAspect="1"/>
            </wp:cNvGraphicFramePr>
            <a:graphic>
              <a:graphicData uri="http://schemas.openxmlformats.org/drawingml/2006/picture">
                <pic:pic>
                  <pic:nvPicPr>
                    <pic:cNvPr id="42" name="image3.png"/>
                    <pic:cNvPicPr/>
                  </pic:nvPicPr>
                  <pic:blipFill>
                    <a:blip r:embed="rId11" cstate="print"/>
                    <a:stretch>
                      <a:fillRect/>
                    </a:stretch>
                  </pic:blipFill>
                  <pic:spPr>
                    <a:xfrm>
                      <a:off x="0" y="0"/>
                      <a:ext cx="74676" cy="6096"/>
                    </a:xfrm>
                    <a:prstGeom prst="rect">
                      <a:avLst/>
                    </a:prstGeom>
                  </pic:spPr>
                </pic:pic>
              </a:graphicData>
            </a:graphic>
          </wp:anchor>
        </w:drawing>
      </w:r>
      <w:r>
        <w:rPr/>
        <w:t>无花果。 2. 级联混频器和输出缓冲器的测量输入-参考的一维B压缩点(ICP1db)为7dbm。 请注意，通过设计输出缓冲器以获得大于单位电压增益的更高的功率增益，尽管这当然会影响ICP1dB、IIP3和功耗。</w:t>
      </w:r>
    </w:p>
    <w:p>
      <w:pPr>
        <w:pStyle w:val="BodyText"/>
        <w:spacing w:line="249" w:lineRule="auto" w:before="42"/>
        <w:ind w:left="100" w:right="88" w:firstLine="199"/>
        <w:jc w:val="both"/>
      </w:pPr>
      <w:r>
        <w:rPr/>
        <w:drawing>
          <wp:anchor distT="0" distB="0" distL="0" distR="0" allowOverlap="1" layoutInCell="1" locked="0" behindDoc="1" simplePos="0" relativeHeight="251362304">
            <wp:simplePos x="0" y="0"/>
            <wp:positionH relativeFrom="page">
              <wp:posOffset>2889504</wp:posOffset>
            </wp:positionH>
            <wp:positionV relativeFrom="paragraph">
              <wp:posOffset>108851</wp:posOffset>
            </wp:positionV>
            <wp:extent cx="74675" cy="6096"/>
            <wp:effectExtent l="0" t="0" r="0" b="0"/>
            <wp:wrapNone/>
            <wp:docPr id="43" name="image3.png"/>
            <wp:cNvGraphicFramePr>
              <a:graphicFrameLocks noChangeAspect="1"/>
            </wp:cNvGraphicFramePr>
            <a:graphic>
              <a:graphicData uri="http://schemas.openxmlformats.org/drawingml/2006/picture">
                <pic:pic>
                  <pic:nvPicPr>
                    <pic:cNvPr id="44" name="image3.png"/>
                    <pic:cNvPicPr/>
                  </pic:nvPicPr>
                  <pic:blipFill>
                    <a:blip r:embed="rId11" cstate="print"/>
                    <a:stretch>
                      <a:fillRect/>
                    </a:stretch>
                  </pic:blipFill>
                  <pic:spPr>
                    <a:xfrm>
                      <a:off x="0" y="0"/>
                      <a:ext cx="74675" cy="6096"/>
                    </a:xfrm>
                    <a:prstGeom prst="rect">
                      <a:avLst/>
                    </a:prstGeom>
                  </pic:spPr>
                </pic:pic>
              </a:graphicData>
            </a:graphic>
          </wp:anchor>
        </w:drawing>
      </w:r>
      <w:r>
        <w:rPr/>
        <w:drawing>
          <wp:anchor distT="0" distB="0" distL="0" distR="0" allowOverlap="1" layoutInCell="1" locked="0" behindDoc="1" simplePos="0" relativeHeight="251363328">
            <wp:simplePos x="0" y="0"/>
            <wp:positionH relativeFrom="page">
              <wp:posOffset>3276600</wp:posOffset>
            </wp:positionH>
            <wp:positionV relativeFrom="paragraph">
              <wp:posOffset>108851</wp:posOffset>
            </wp:positionV>
            <wp:extent cx="74675" cy="6096"/>
            <wp:effectExtent l="0" t="0" r="0" b="0"/>
            <wp:wrapNone/>
            <wp:docPr id="45" name="image3.png"/>
            <wp:cNvGraphicFramePr>
              <a:graphicFrameLocks noChangeAspect="1"/>
            </wp:cNvGraphicFramePr>
            <a:graphic>
              <a:graphicData uri="http://schemas.openxmlformats.org/drawingml/2006/picture">
                <pic:pic>
                  <pic:nvPicPr>
                    <pic:cNvPr id="46" name="image3.png"/>
                    <pic:cNvPicPr/>
                  </pic:nvPicPr>
                  <pic:blipFill>
                    <a:blip r:embed="rId11" cstate="print"/>
                    <a:stretch>
                      <a:fillRect/>
                    </a:stretch>
                  </pic:blipFill>
                  <pic:spPr>
                    <a:xfrm>
                      <a:off x="0" y="0"/>
                      <a:ext cx="74675" cy="6096"/>
                    </a:xfrm>
                    <a:prstGeom prst="rect">
                      <a:avLst/>
                    </a:prstGeom>
                  </pic:spPr>
                </pic:pic>
              </a:graphicData>
            </a:graphic>
          </wp:anchor>
        </w:drawing>
      </w:r>
      <w:r>
        <w:rPr/>
        <w:drawing>
          <wp:anchor distT="0" distB="0" distL="0" distR="0" allowOverlap="1" layoutInCell="1" locked="0" behindDoc="1" simplePos="0" relativeHeight="251364352">
            <wp:simplePos x="0" y="0"/>
            <wp:positionH relativeFrom="page">
              <wp:posOffset>627887</wp:posOffset>
            </wp:positionH>
            <wp:positionV relativeFrom="paragraph">
              <wp:posOffset>413651</wp:posOffset>
            </wp:positionV>
            <wp:extent cx="74676" cy="6096"/>
            <wp:effectExtent l="0" t="0" r="0" b="0"/>
            <wp:wrapNone/>
            <wp:docPr id="47" name="image3.png"/>
            <wp:cNvGraphicFramePr>
              <a:graphicFrameLocks noChangeAspect="1"/>
            </wp:cNvGraphicFramePr>
            <a:graphic>
              <a:graphicData uri="http://schemas.openxmlformats.org/drawingml/2006/picture">
                <pic:pic>
                  <pic:nvPicPr>
                    <pic:cNvPr id="48" name="image3.png"/>
                    <pic:cNvPicPr/>
                  </pic:nvPicPr>
                  <pic:blipFill>
                    <a:blip r:embed="rId11" cstate="print"/>
                    <a:stretch>
                      <a:fillRect/>
                    </a:stretch>
                  </pic:blipFill>
                  <pic:spPr>
                    <a:xfrm>
                      <a:off x="0" y="0"/>
                      <a:ext cx="74676" cy="6096"/>
                    </a:xfrm>
                    <a:prstGeom prst="rect">
                      <a:avLst/>
                    </a:prstGeom>
                  </pic:spPr>
                </pic:pic>
              </a:graphicData>
            </a:graphic>
          </wp:anchor>
        </w:drawing>
      </w:r>
      <w:r>
        <w:rPr/>
        <w:drawing>
          <wp:anchor distT="0" distB="0" distL="0" distR="0" allowOverlap="1" layoutInCell="1" locked="0" behindDoc="1" simplePos="0" relativeHeight="251365376">
            <wp:simplePos x="0" y="0"/>
            <wp:positionH relativeFrom="page">
              <wp:posOffset>1005839</wp:posOffset>
            </wp:positionH>
            <wp:positionV relativeFrom="paragraph">
              <wp:posOffset>413651</wp:posOffset>
            </wp:positionV>
            <wp:extent cx="74675" cy="6096"/>
            <wp:effectExtent l="0" t="0" r="0" b="0"/>
            <wp:wrapNone/>
            <wp:docPr id="49" name="image3.png"/>
            <wp:cNvGraphicFramePr>
              <a:graphicFrameLocks noChangeAspect="1"/>
            </wp:cNvGraphicFramePr>
            <a:graphic>
              <a:graphicData uri="http://schemas.openxmlformats.org/drawingml/2006/picture">
                <pic:pic>
                  <pic:nvPicPr>
                    <pic:cNvPr id="50" name="image3.png"/>
                    <pic:cNvPicPr/>
                  </pic:nvPicPr>
                  <pic:blipFill>
                    <a:blip r:embed="rId11" cstate="print"/>
                    <a:stretch>
                      <a:fillRect/>
                    </a:stretch>
                  </pic:blipFill>
                  <pic:spPr>
                    <a:xfrm>
                      <a:off x="0" y="0"/>
                      <a:ext cx="74675" cy="6096"/>
                    </a:xfrm>
                    <a:prstGeom prst="rect">
                      <a:avLst/>
                    </a:prstGeom>
                  </pic:spPr>
                </pic:pic>
              </a:graphicData>
            </a:graphic>
          </wp:anchor>
        </w:drawing>
      </w:r>
      <w:r>
        <w:rPr>
          <w:position w:val="-3"/>
        </w:rPr>
        <w:drawing>
          <wp:inline distT="0" distB="0" distL="0" distR="0">
            <wp:extent cx="252984" cy="126491"/>
            <wp:effectExtent l="0" t="0" r="0" b="0"/>
            <wp:docPr id="51" name="image18.png"/>
            <wp:cNvGraphicFramePr>
              <a:graphicFrameLocks noChangeAspect="1"/>
            </wp:cNvGraphicFramePr>
            <a:graphic>
              <a:graphicData uri="http://schemas.openxmlformats.org/drawingml/2006/picture">
                <pic:pic>
                  <pic:nvPicPr>
                    <pic:cNvPr id="52" name="image18.png"/>
                    <pic:cNvPicPr/>
                  </pic:nvPicPr>
                  <pic:blipFill>
                    <a:blip r:embed="rId27" cstate="print"/>
                    <a:stretch>
                      <a:fillRect/>
                    </a:stretch>
                  </pic:blipFill>
                  <pic:spPr>
                    <a:xfrm>
                      <a:off x="0" y="0"/>
                      <a:ext cx="252984" cy="126491"/>
                    </a:xfrm>
                    <a:prstGeom prst="rect">
                      <a:avLst/>
                    </a:prstGeom>
                  </pic:spPr>
                </pic:pic>
              </a:graphicData>
            </a:graphic>
          </wp:inline>
        </w:drawing>
      </w:r>
      <w:r>
        <w:rPr>
          <w:position w:val="-3"/>
        </w:rPr>
      </w:r>
      <w:r>
        <w:rPr>
          <w:spacing w:val="24"/>
        </w:rPr>
        <w:t>混频器输入的输入返回损耗在</w:t>
      </w:r>
      <w:r>
        <w:rPr/>
        <w:t>57-64GHz</w:t>
      </w:r>
      <w:r>
        <w:rPr>
          <w:spacing w:val="-9"/>
        </w:rPr>
        <w:t> 频段为</w:t>
      </w:r>
      <w:r>
        <w:rPr>
          <w:spacing w:val="-9"/>
          <w:w w:val="95"/>
        </w:rPr>
        <w:t>10~11dB</w:t>
      </w:r>
      <w:r>
        <w:rPr>
          <w:spacing w:val="5"/>
          <w:w w:val="95"/>
        </w:rPr>
        <w:t>。</w:t>
      </w:r>
      <w:r>
        <w:rPr>
          <w:spacing w:val="-52"/>
          <w:w w:val="95"/>
        </w:rPr>
        <w:t> </w:t>
      </w:r>
      <w:r>
        <w:rPr>
          <w:spacing w:val="5"/>
          <w:w w:val="99"/>
          <w:position w:val="-2"/>
        </w:rPr>
        <w:drawing>
          <wp:inline distT="0" distB="0" distL="0" distR="0">
            <wp:extent cx="83819" cy="112775"/>
            <wp:effectExtent l="0" t="0" r="0" b="0"/>
            <wp:docPr id="53" name="image6.png"/>
            <wp:cNvGraphicFramePr>
              <a:graphicFrameLocks noChangeAspect="1"/>
            </wp:cNvGraphicFramePr>
            <a:graphic>
              <a:graphicData uri="http://schemas.openxmlformats.org/drawingml/2006/picture">
                <pic:pic>
                  <pic:nvPicPr>
                    <pic:cNvPr id="54" name="image6.png"/>
                    <pic:cNvPicPr/>
                  </pic:nvPicPr>
                  <pic:blipFill>
                    <a:blip r:embed="rId14" cstate="print"/>
                    <a:stretch>
                      <a:fillRect/>
                    </a:stretch>
                  </pic:blipFill>
                  <pic:spPr>
                    <a:xfrm>
                      <a:off x="0" y="0"/>
                      <a:ext cx="83819" cy="112775"/>
                    </a:xfrm>
                    <a:prstGeom prst="rect">
                      <a:avLst/>
                    </a:prstGeom>
                  </pic:spPr>
                </pic:pic>
              </a:graphicData>
            </a:graphic>
          </wp:inline>
        </w:drawing>
      </w:r>
      <w:r>
        <w:rPr>
          <w:spacing w:val="5"/>
          <w:w w:val="99"/>
          <w:position w:val="-2"/>
        </w:rPr>
      </w:r>
      <w:r>
        <w:rPr>
          <w:rFonts w:ascii="Times New Roman" w:eastAsia="Times New Roman"/>
          <w:spacing w:val="5"/>
          <w:w w:val="99"/>
        </w:rPr>
        <w:t> </w:t>
      </w:r>
      <w:r>
        <w:rPr>
          <w:rFonts w:ascii="Times New Roman" w:eastAsia="Times New Roman"/>
          <w:w w:val="99"/>
        </w:rPr>
        <w:t> </w:t>
      </w:r>
      <w:r>
        <w:rPr>
          <w:spacing w:val="5"/>
        </w:rPr>
        <w:t>这</w:t>
      </w:r>
      <w:r>
        <w:rPr>
          <w:spacing w:val="7"/>
        </w:rPr>
        <w:t>与</w:t>
      </w:r>
      <w:r>
        <w:rPr/>
        <w:t>15</w:t>
      </w:r>
      <w:r>
        <w:rPr>
          <w:spacing w:val="5"/>
        </w:rPr>
        <w:t>到</w:t>
      </w:r>
      <w:r>
        <w:rPr/>
        <w:t>19dB</w:t>
      </w:r>
      <w:r>
        <w:rPr>
          <w:spacing w:val="5"/>
        </w:rPr>
        <w:t>的模</w:t>
      </w:r>
      <w:r>
        <w:rPr>
          <w:spacing w:val="7"/>
        </w:rPr>
        <w:t>拟</w:t>
      </w:r>
      <w:r>
        <w:rPr>
          <w:spacing w:val="5"/>
        </w:rPr>
        <w:t>值相比；较</w:t>
      </w:r>
      <w:r>
        <w:rPr>
          <w:spacing w:val="7"/>
        </w:rPr>
        <w:t>差</w:t>
      </w:r>
      <w:r>
        <w:rPr>
          <w:spacing w:val="5"/>
        </w:rPr>
        <w:t>的测量</w:t>
      </w:r>
      <w:r>
        <w:rPr/>
        <w:t>输入匹配（和较低）被认为是由于输入垫中的未充分建模的</w:t>
      </w:r>
      <w:r>
        <w:rPr>
          <w:spacing w:val="17"/>
          <w:position w:val="2"/>
        </w:rPr>
        <w:t>损失</w:t>
      </w:r>
      <w:r>
        <w:rPr>
          <w:position w:val="2"/>
        </w:rPr>
        <w:t>。</w:t>
      </w:r>
      <w:r>
        <w:rPr>
          <w:spacing w:val="21"/>
          <w:position w:val="2"/>
        </w:rPr>
        <w:t> </w:t>
      </w:r>
      <w:r>
        <w:rPr>
          <w:spacing w:val="17"/>
          <w:position w:val="2"/>
        </w:rPr>
        <w:t>如图所示的测量</w:t>
      </w:r>
      <w:r>
        <w:rPr>
          <w:spacing w:val="19"/>
          <w:position w:val="2"/>
        </w:rPr>
        <w:t>。</w:t>
      </w:r>
      <w:r>
        <w:rPr>
          <w:spacing w:val="19"/>
          <w:w w:val="99"/>
        </w:rPr>
        <w:drawing>
          <wp:inline distT="0" distB="0" distL="0" distR="0">
            <wp:extent cx="155424" cy="106679"/>
            <wp:effectExtent l="0" t="0" r="0" b="0"/>
            <wp:docPr id="55" name="image19.png"/>
            <wp:cNvGraphicFramePr>
              <a:graphicFrameLocks noChangeAspect="1"/>
            </wp:cNvGraphicFramePr>
            <a:graphic>
              <a:graphicData uri="http://schemas.openxmlformats.org/drawingml/2006/picture">
                <pic:pic>
                  <pic:nvPicPr>
                    <pic:cNvPr id="56" name="image19.png"/>
                    <pic:cNvPicPr/>
                  </pic:nvPicPr>
                  <pic:blipFill>
                    <a:blip r:embed="rId28" cstate="print"/>
                    <a:stretch>
                      <a:fillRect/>
                    </a:stretch>
                  </pic:blipFill>
                  <pic:spPr>
                    <a:xfrm>
                      <a:off x="0" y="0"/>
                      <a:ext cx="155424" cy="106679"/>
                    </a:xfrm>
                    <a:prstGeom prst="rect">
                      <a:avLst/>
                    </a:prstGeom>
                  </pic:spPr>
                </pic:pic>
              </a:graphicData>
            </a:graphic>
          </wp:inline>
        </w:drawing>
      </w:r>
      <w:r>
        <w:rPr>
          <w:spacing w:val="19"/>
          <w:w w:val="99"/>
        </w:rPr>
      </w:r>
      <w:r>
        <w:rPr>
          <w:rFonts w:ascii="Times New Roman" w:eastAsia="Times New Roman"/>
          <w:spacing w:val="19"/>
          <w:w w:val="99"/>
          <w:position w:val="2"/>
        </w:rPr>
        <w:t> </w:t>
      </w:r>
      <w:r>
        <w:rPr>
          <w:rFonts w:ascii="Times New Roman" w:eastAsia="Times New Roman"/>
          <w:spacing w:val="4"/>
          <w:w w:val="99"/>
          <w:position w:val="2"/>
        </w:rPr>
        <w:t> </w:t>
      </w:r>
      <w:r>
        <w:rPr>
          <w:spacing w:val="17"/>
          <w:position w:val="2"/>
        </w:rPr>
        <w:t>没有纠正搅拌机的不</w:t>
      </w:r>
      <w:r>
        <w:rPr>
          <w:position w:val="2"/>
        </w:rPr>
        <w:t>完</w:t>
      </w:r>
      <w:r>
        <w:rPr/>
        <w:t>善；这样的纠正将是</w:t>
      </w:r>
    </w:p>
    <w:p>
      <w:pPr>
        <w:pStyle w:val="BodyText"/>
        <w:spacing w:before="9"/>
        <w:ind w:left="100"/>
      </w:pPr>
      <w:r>
        <w:rPr/>
        <w:t>0.5dB或以下，且在测量公差范围内。</w:t>
      </w:r>
    </w:p>
    <w:p>
      <w:pPr>
        <w:pStyle w:val="BodyText"/>
        <w:spacing w:line="252" w:lineRule="auto" w:before="54"/>
        <w:ind w:left="100" w:right="88" w:firstLine="199"/>
        <w:jc w:val="both"/>
      </w:pPr>
      <w:r>
        <w:rPr>
          <w:spacing w:val="-13"/>
        </w:rPr>
        <w:t>图 中的 转 换增 益数 据 。 使 用驱 动 频率 乘法 器(Anritsu54000-4WR15)的频率合成器作为射频源，并使用</w:t>
      </w:r>
      <w:r>
        <w:rPr>
          <w:spacing w:val="2"/>
        </w:rPr>
        <w:t>频谱分析仪测量中频输出功率。 该设备在测量的频率范</w:t>
      </w:r>
      <w:r>
        <w:rPr/>
        <w:t>围内进行了校准，但合成器输出、倍频器增益、频谱分析仪灵敏度和测试装置损耗的变化有助于估计转换增益数据中约1dB的公差。</w:t>
      </w:r>
    </w:p>
    <w:p>
      <w:pPr>
        <w:pStyle w:val="BodyText"/>
        <w:spacing w:line="252" w:lineRule="auto" w:before="44"/>
        <w:ind w:left="100" w:right="88" w:firstLine="199"/>
        <w:jc w:val="both"/>
      </w:pPr>
      <w:r>
        <w:rPr/>
        <w:drawing>
          <wp:anchor distT="0" distB="0" distL="0" distR="0" allowOverlap="1" layoutInCell="1" locked="0" behindDoc="1" simplePos="0" relativeHeight="251366400">
            <wp:simplePos x="0" y="0"/>
            <wp:positionH relativeFrom="page">
              <wp:posOffset>2211323</wp:posOffset>
            </wp:positionH>
            <wp:positionV relativeFrom="paragraph">
              <wp:posOffset>70485</wp:posOffset>
            </wp:positionV>
            <wp:extent cx="82295" cy="83820"/>
            <wp:effectExtent l="0" t="0" r="0" b="0"/>
            <wp:wrapNone/>
            <wp:docPr id="57" name="image20.png"/>
            <wp:cNvGraphicFramePr>
              <a:graphicFrameLocks noChangeAspect="1"/>
            </wp:cNvGraphicFramePr>
            <a:graphic>
              <a:graphicData uri="http://schemas.openxmlformats.org/drawingml/2006/picture">
                <pic:pic>
                  <pic:nvPicPr>
                    <pic:cNvPr id="58" name="image20.png"/>
                    <pic:cNvPicPr/>
                  </pic:nvPicPr>
                  <pic:blipFill>
                    <a:blip r:embed="rId29" cstate="print"/>
                    <a:stretch>
                      <a:fillRect/>
                    </a:stretch>
                  </pic:blipFill>
                  <pic:spPr>
                    <a:xfrm>
                      <a:off x="0" y="0"/>
                      <a:ext cx="82295" cy="83820"/>
                    </a:xfrm>
                    <a:prstGeom prst="rect">
                      <a:avLst/>
                    </a:prstGeom>
                  </pic:spPr>
                </pic:pic>
              </a:graphicData>
            </a:graphic>
          </wp:anchor>
        </w:drawing>
      </w:r>
      <w:r>
        <w:rPr/>
        <w:t>无花果。 给出了混频器的测量和模拟上单边带(SSB)噪</w:t>
      </w:r>
      <w:r>
        <w:rPr>
          <w:spacing w:val="5"/>
        </w:rPr>
        <w:t>声图</w:t>
      </w:r>
      <w:r>
        <w:rPr>
          <w:spacing w:val="2"/>
        </w:rPr>
        <w:t>(NF</w:t>
      </w:r>
      <w:r>
        <w:rPr>
          <w:spacing w:val="1"/>
        </w:rPr>
        <w:t>。 为了进行</w:t>
      </w:r>
      <w:r>
        <w:rPr>
          <w:spacing w:val="2"/>
        </w:rPr>
        <w:t>SSB</w:t>
      </w:r>
      <w:r>
        <w:rPr>
          <w:spacing w:val="4"/>
        </w:rPr>
        <w:t>测量，我们的噪声源的输出通过</w:t>
      </w:r>
      <w:r>
        <w:rPr>
          <w:spacing w:val="5"/>
          <w:w w:val="95"/>
        </w:rPr>
        <w:t>一个波导滤波器，其非常尖锐的截止值低于</w:t>
      </w:r>
      <w:r>
        <w:rPr>
          <w:w w:val="95"/>
        </w:rPr>
        <w:t>59.5GHz，以 </w:t>
      </w:r>
      <w:r>
        <w:rPr>
          <w:spacing w:val="7"/>
        </w:rPr>
        <w:t>消除来自下边带的噪声功率。 因此，在</w:t>
      </w:r>
      <w:r>
        <w:rPr>
          <w:spacing w:val="2"/>
        </w:rPr>
        <w:t>60GHz</w:t>
      </w:r>
      <w:r>
        <w:rPr>
          <w:spacing w:val="7"/>
        </w:rPr>
        <w:t>以下的上</w:t>
      </w:r>
      <w:r>
        <w:rPr>
          <w:spacing w:val="7"/>
          <w:w w:val="95"/>
        </w:rPr>
        <w:t>SSBNF</w:t>
      </w:r>
      <w:r>
        <w:rPr>
          <w:spacing w:val="5"/>
          <w:w w:val="95"/>
        </w:rPr>
        <w:t>测量是不可能的，但在大多数波段上实现了</w:t>
      </w:r>
      <w:r>
        <w:rPr>
          <w:w w:val="95"/>
        </w:rPr>
        <w:t>13dB或 </w:t>
      </w:r>
      <w:r>
        <w:rPr>
          <w:spacing w:val="6"/>
        </w:rPr>
        <w:t>以下的</w:t>
      </w:r>
      <w:r>
        <w:rPr>
          <w:spacing w:val="3"/>
        </w:rPr>
        <w:t>NF</w:t>
      </w:r>
      <w:r>
        <w:rPr>
          <w:spacing w:val="5"/>
        </w:rPr>
        <w:t>，并观察到与模拟的</w:t>
      </w:r>
      <w:r>
        <w:rPr/>
        <w:t>NF</w:t>
      </w:r>
      <w:r>
        <w:rPr>
          <w:spacing w:val="1"/>
        </w:rPr>
        <w:t>数据密切一致。 由于晶</w:t>
      </w:r>
      <w:r>
        <w:rPr>
          <w:spacing w:val="5"/>
          <w:w w:val="95"/>
        </w:rPr>
        <w:t>片探针电阻的变化、噪声源有效噪声比</w:t>
      </w:r>
      <w:r>
        <w:rPr>
          <w:w w:val="95"/>
        </w:rPr>
        <w:t>(ENR</w:t>
      </w:r>
      <w:r>
        <w:rPr>
          <w:spacing w:val="3"/>
          <w:w w:val="95"/>
        </w:rPr>
        <w:t>)在频率上的 </w:t>
      </w:r>
      <w:r>
        <w:rPr>
          <w:spacing w:val="3"/>
        </w:rPr>
        <w:t>变化以及需要准确地考虑噪声源与电路之间的频率相关损</w:t>
      </w:r>
      <w:r>
        <w:rPr>
          <w:spacing w:val="5"/>
        </w:rPr>
        <w:t>失，这些频率下的</w:t>
      </w:r>
      <w:r>
        <w:rPr>
          <w:spacing w:val="3"/>
        </w:rPr>
        <w:t>NF</w:t>
      </w:r>
      <w:r>
        <w:rPr>
          <w:spacing w:val="2"/>
        </w:rPr>
        <w:t>测量是困难的。 因此，</w:t>
      </w:r>
      <w:r>
        <w:rPr>
          <w:spacing w:val="4"/>
        </w:rPr>
        <w:t>NF</w:t>
      </w:r>
      <w:r>
        <w:rPr>
          <w:spacing w:val="3"/>
        </w:rPr>
        <w:t>数据显示出比在较低频率下预期的更多的散射。</w:t>
      </w:r>
    </w:p>
    <w:p>
      <w:pPr>
        <w:pStyle w:val="BodyText"/>
        <w:spacing w:line="252" w:lineRule="auto" w:before="40"/>
        <w:ind w:left="100" w:right="92" w:firstLine="199"/>
        <w:jc w:val="both"/>
      </w:pPr>
      <w:r>
        <w:rPr/>
        <w:t>无花果。 利用LO频率为52GHz，中频频率为8.75GHz， 显示了NF和转换增益随LO功率的变化。 NF和增益对LO功率降低到约4dBm(560mV峰值到-</w:t>
      </w:r>
    </w:p>
    <w:p>
      <w:pPr>
        <w:spacing w:before="78"/>
        <w:ind w:left="100" w:right="253" w:firstLine="0"/>
        <w:jc w:val="left"/>
        <w:rPr>
          <w:sz w:val="16"/>
        </w:rPr>
      </w:pPr>
      <w:r>
        <w:rPr/>
        <w:br w:type="column"/>
      </w:r>
      <w:r>
        <w:rPr>
          <w:sz w:val="16"/>
        </w:rPr>
        <w:t>无花果。 4. 测量了混频器的上SSBNF和电压转换增益与LO输入功率的关系，RF、LO和IF频率保持在60.75GHz、52GHz和8.75。</w:t>
      </w:r>
    </w:p>
    <w:p>
      <w:pPr>
        <w:pStyle w:val="BodyText"/>
        <w:rPr>
          <w:sz w:val="28"/>
        </w:rPr>
      </w:pPr>
      <w:r>
        <w:rPr/>
        <w:drawing>
          <wp:anchor distT="0" distB="0" distL="0" distR="0" allowOverlap="1" layoutInCell="1" locked="0" behindDoc="0" simplePos="0" relativeHeight="16">
            <wp:simplePos x="0" y="0"/>
            <wp:positionH relativeFrom="page">
              <wp:posOffset>4162044</wp:posOffset>
            </wp:positionH>
            <wp:positionV relativeFrom="paragraph">
              <wp:posOffset>252602</wp:posOffset>
            </wp:positionV>
            <wp:extent cx="2531363" cy="1997964"/>
            <wp:effectExtent l="0" t="0" r="0" b="0"/>
            <wp:wrapTopAndBottom/>
            <wp:docPr id="59" name="image21.png"/>
            <wp:cNvGraphicFramePr>
              <a:graphicFrameLocks noChangeAspect="1"/>
            </wp:cNvGraphicFramePr>
            <a:graphic>
              <a:graphicData uri="http://schemas.openxmlformats.org/drawingml/2006/picture">
                <pic:pic>
                  <pic:nvPicPr>
                    <pic:cNvPr id="60" name="image21.png"/>
                    <pic:cNvPicPr/>
                  </pic:nvPicPr>
                  <pic:blipFill>
                    <a:blip r:embed="rId30" cstate="print"/>
                    <a:stretch>
                      <a:fillRect/>
                    </a:stretch>
                  </pic:blipFill>
                  <pic:spPr>
                    <a:xfrm>
                      <a:off x="0" y="0"/>
                      <a:ext cx="2531363" cy="1997964"/>
                    </a:xfrm>
                    <a:prstGeom prst="rect">
                      <a:avLst/>
                    </a:prstGeom>
                  </pic:spPr>
                </pic:pic>
              </a:graphicData>
            </a:graphic>
          </wp:anchor>
        </w:drawing>
      </w:r>
    </w:p>
    <w:p>
      <w:pPr>
        <w:pStyle w:val="BodyText"/>
        <w:spacing w:before="7"/>
        <w:rPr>
          <w:sz w:val="11"/>
        </w:rPr>
      </w:pPr>
    </w:p>
    <w:p>
      <w:pPr>
        <w:spacing w:before="0"/>
        <w:ind w:left="100" w:right="250" w:firstLine="0"/>
        <w:jc w:val="left"/>
        <w:rPr>
          <w:sz w:val="16"/>
        </w:rPr>
      </w:pPr>
      <w:r>
        <w:rPr>
          <w:sz w:val="16"/>
        </w:rPr>
        <w:t>无花果。 5. 测量了混频器的上SSBNF和电压转换增益随温度的变化， RF、LO和IF频率分别保持在60.15、51.4和8.75GHz。</w:t>
      </w:r>
    </w:p>
    <w:p>
      <w:pPr>
        <w:pStyle w:val="BodyText"/>
        <w:rPr>
          <w:sz w:val="16"/>
        </w:rPr>
      </w:pPr>
    </w:p>
    <w:p>
      <w:pPr>
        <w:pStyle w:val="BodyText"/>
        <w:spacing w:before="4"/>
        <w:rPr>
          <w:sz w:val="13"/>
        </w:rPr>
      </w:pPr>
    </w:p>
    <w:p>
      <w:pPr>
        <w:pStyle w:val="BodyText"/>
        <w:spacing w:line="252" w:lineRule="auto"/>
        <w:ind w:left="100" w:right="253"/>
      </w:pPr>
      <w:r>
        <w:rPr/>
        <w:drawing>
          <wp:anchor distT="0" distB="0" distL="0" distR="0" allowOverlap="1" layoutInCell="1" locked="0" behindDoc="1" simplePos="0" relativeHeight="251367424">
            <wp:simplePos x="0" y="0"/>
            <wp:positionH relativeFrom="page">
              <wp:posOffset>3973067</wp:posOffset>
            </wp:positionH>
            <wp:positionV relativeFrom="paragraph">
              <wp:posOffset>236093</wp:posOffset>
            </wp:positionV>
            <wp:extent cx="74675" cy="6096"/>
            <wp:effectExtent l="0" t="0" r="0" b="0"/>
            <wp:wrapNone/>
            <wp:docPr id="61" name="image3.png"/>
            <wp:cNvGraphicFramePr>
              <a:graphicFrameLocks noChangeAspect="1"/>
            </wp:cNvGraphicFramePr>
            <a:graphic>
              <a:graphicData uri="http://schemas.openxmlformats.org/drawingml/2006/picture">
                <pic:pic>
                  <pic:nvPicPr>
                    <pic:cNvPr id="62" name="image3.png"/>
                    <pic:cNvPicPr/>
                  </pic:nvPicPr>
                  <pic:blipFill>
                    <a:blip r:embed="rId11" cstate="print"/>
                    <a:stretch>
                      <a:fillRect/>
                    </a:stretch>
                  </pic:blipFill>
                  <pic:spPr>
                    <a:xfrm>
                      <a:off x="0" y="0"/>
                      <a:ext cx="74675" cy="6096"/>
                    </a:xfrm>
                    <a:prstGeom prst="rect">
                      <a:avLst/>
                    </a:prstGeom>
                  </pic:spPr>
                </pic:pic>
              </a:graphicData>
            </a:graphic>
          </wp:anchor>
        </w:drawing>
      </w:r>
      <w:r>
        <w:rPr>
          <w:spacing w:val="5"/>
          <w:w w:val="95"/>
        </w:rPr>
        <w:t>在混频器开关处的峰值差分)和</w:t>
      </w:r>
      <w:r>
        <w:rPr>
          <w:spacing w:val="3"/>
          <w:w w:val="95"/>
        </w:rPr>
        <w:t>LO</w:t>
      </w:r>
      <w:r>
        <w:rPr>
          <w:spacing w:val="5"/>
          <w:w w:val="95"/>
        </w:rPr>
        <w:t>功率电平为</w:t>
      </w:r>
      <w:r>
        <w:rPr>
          <w:w w:val="95"/>
        </w:rPr>
        <w:t>3dBm用于本 </w:t>
      </w:r>
      <w:r>
        <w:rPr/>
        <w:t>文的所有其他测量。</w:t>
      </w:r>
    </w:p>
    <w:p>
      <w:pPr>
        <w:pStyle w:val="BodyText"/>
        <w:spacing w:line="252" w:lineRule="auto" w:before="2"/>
        <w:ind w:left="100" w:right="253" w:firstLine="199"/>
        <w:jc w:val="both"/>
      </w:pPr>
      <w:r>
        <w:rPr/>
        <w:t>LO端口与RF和IF端口之间的隔离是任何混频器都关心的问题。 测量的LO-RF隔离在26-30-dB范围内。 直接测量LO到IF隔离是不可能的，因为片上输出缓冲器和片外测试夹具没有通过LO频率。 电路模拟表明，LO信号被传递到混频器输出，衰减约为20dB。</w:t>
      </w:r>
    </w:p>
    <w:p>
      <w:pPr>
        <w:pStyle w:val="BodyText"/>
        <w:spacing w:line="252" w:lineRule="auto"/>
        <w:ind w:left="100" w:right="253" w:firstLine="199"/>
        <w:jc w:val="both"/>
      </w:pPr>
      <w:r>
        <w:rPr/>
        <w:t>无花果。 总结了混合器上的温度测量。 在恒定偏置电流下，转换增益减小</w:t>
      </w:r>
    </w:p>
    <w:p>
      <w:pPr>
        <w:pStyle w:val="BodyText"/>
        <w:spacing w:line="239" w:lineRule="exact"/>
        <w:ind w:left="100"/>
      </w:pPr>
      <w:r>
        <w:rPr/>
        <w:drawing>
          <wp:anchor distT="0" distB="0" distL="0" distR="0" allowOverlap="1" layoutInCell="1" locked="0" behindDoc="1" simplePos="0" relativeHeight="251368448">
            <wp:simplePos x="0" y="0"/>
            <wp:positionH relativeFrom="page">
              <wp:posOffset>5102352</wp:posOffset>
            </wp:positionH>
            <wp:positionV relativeFrom="paragraph">
              <wp:posOffset>30019</wp:posOffset>
            </wp:positionV>
            <wp:extent cx="38100" cy="39624"/>
            <wp:effectExtent l="0" t="0" r="0" b="0"/>
            <wp:wrapNone/>
            <wp:docPr id="63" name="image15.png"/>
            <wp:cNvGraphicFramePr>
              <a:graphicFrameLocks noChangeAspect="1"/>
            </wp:cNvGraphicFramePr>
            <a:graphic>
              <a:graphicData uri="http://schemas.openxmlformats.org/drawingml/2006/picture">
                <pic:pic>
                  <pic:nvPicPr>
                    <pic:cNvPr id="64" name="image15.png"/>
                    <pic:cNvPicPr/>
                  </pic:nvPicPr>
                  <pic:blipFill>
                    <a:blip r:embed="rId31" cstate="print"/>
                    <a:stretch>
                      <a:fillRect/>
                    </a:stretch>
                  </pic:blipFill>
                  <pic:spPr>
                    <a:xfrm>
                      <a:off x="0" y="0"/>
                      <a:ext cx="38100" cy="39624"/>
                    </a:xfrm>
                    <a:prstGeom prst="rect">
                      <a:avLst/>
                    </a:prstGeom>
                  </pic:spPr>
                </pic:pic>
              </a:graphicData>
            </a:graphic>
          </wp:anchor>
        </w:drawing>
      </w:r>
      <w:r>
        <w:rPr/>
        <w:t>从5°C到80°C，而NF从12.8上升到</w:t>
      </w:r>
    </w:p>
    <w:p>
      <w:pPr>
        <w:pStyle w:val="BodyText"/>
        <w:spacing w:line="252" w:lineRule="auto"/>
        <w:ind w:left="100" w:right="251"/>
        <w:jc w:val="both"/>
      </w:pPr>
      <w:r>
        <w:rPr/>
        <w:t>15.2d</w:t>
      </w:r>
      <w:r>
        <w:rPr>
          <w:spacing w:val="-1"/>
        </w:rPr>
        <w:t> </w:t>
      </w:r>
      <w:r>
        <w:rPr>
          <w:spacing w:val="6"/>
        </w:rPr>
        <w:t>B</w:t>
      </w:r>
      <w:r>
        <w:rPr>
          <w:spacing w:val="5"/>
        </w:rPr>
        <w:t>。 在</w:t>
      </w:r>
      <w:r>
        <w:rPr/>
        <w:t>80°C</w:t>
      </w:r>
      <w:r>
        <w:rPr>
          <w:spacing w:val="6"/>
        </w:rPr>
        <w:t>以上的温度下，由于</w:t>
      </w:r>
      <w:r>
        <w:rPr/>
        <w:t>Al</w:t>
      </w:r>
      <w:r>
        <w:rPr>
          <w:spacing w:val="5"/>
        </w:rPr>
        <w:t>垫的氧化，测</w:t>
      </w:r>
      <w:r>
        <w:rPr>
          <w:spacing w:val="4"/>
          <w:w w:val="95"/>
        </w:rPr>
        <w:t>量是不稳定的；</w:t>
      </w:r>
      <w:r>
        <w:rPr>
          <w:spacing w:val="2"/>
          <w:w w:val="95"/>
        </w:rPr>
        <w:t>Be-Cu</w:t>
      </w:r>
      <w:r>
        <w:rPr>
          <w:spacing w:val="4"/>
          <w:w w:val="95"/>
        </w:rPr>
        <w:t>探针不能在这些温度以上达到低电 </w:t>
      </w:r>
      <w:r>
        <w:rPr>
          <w:spacing w:val="9"/>
        </w:rPr>
        <w:t>阻接触。 钨或镍探针更适合探测铝垫将用于未来的测试。</w:t>
      </w:r>
    </w:p>
    <w:p>
      <w:pPr>
        <w:pStyle w:val="BodyText"/>
        <w:ind w:left="100" w:firstLine="199"/>
        <w:jc w:val="both"/>
      </w:pPr>
      <w:r>
        <w:rPr/>
        <w:t>混合器和输出缓冲器的模具照片如图所示。 6. 射频输</w:t>
      </w:r>
    </w:p>
    <w:p>
      <w:pPr>
        <w:pStyle w:val="BodyText"/>
        <w:spacing w:line="270" w:lineRule="atLeast"/>
        <w:ind w:left="100" w:right="253"/>
        <w:jc w:val="both"/>
      </w:pPr>
      <w:r>
        <w:rPr/>
        <w:t>入在右边，差分LO输入在左边，IF输出取自垫架的顶部和底部。 在右侧可以看到构成混合器负载一部分的螺旋电</w:t>
      </w:r>
    </w:p>
    <w:p>
      <w:pPr>
        <w:spacing w:after="0" w:line="270" w:lineRule="atLeast"/>
        <w:jc w:val="both"/>
        <w:sectPr>
          <w:type w:val="continuous"/>
          <w:pgSz w:w="11880" w:h="15840"/>
          <w:pgMar w:top="1160" w:bottom="240" w:left="660" w:right="580"/>
          <w:cols w:num="2" w:equalWidth="0">
            <w:col w:w="5217" w:space="43"/>
            <w:col w:w="5380"/>
          </w:cols>
        </w:sectPr>
      </w:pPr>
    </w:p>
    <w:p>
      <w:pPr>
        <w:pStyle w:val="BodyText"/>
        <w:spacing w:before="7" w:after="1"/>
        <w:rPr>
          <w:sz w:val="9"/>
        </w:rPr>
      </w:pPr>
    </w:p>
    <w:p>
      <w:pPr>
        <w:pStyle w:val="BodyText"/>
        <w:ind w:left="252"/>
      </w:pPr>
      <w:r>
        <w:rPr/>
        <w:drawing>
          <wp:inline distT="0" distB="0" distL="0" distR="0">
            <wp:extent cx="3040075" cy="3809619"/>
            <wp:effectExtent l="0" t="0" r="0" b="0"/>
            <wp:docPr id="65" name="image22.jpeg"/>
            <wp:cNvGraphicFramePr>
              <a:graphicFrameLocks noChangeAspect="1"/>
            </wp:cNvGraphicFramePr>
            <a:graphic>
              <a:graphicData uri="http://schemas.openxmlformats.org/drawingml/2006/picture">
                <pic:pic>
                  <pic:nvPicPr>
                    <pic:cNvPr id="66" name="image22.jpeg"/>
                    <pic:cNvPicPr/>
                  </pic:nvPicPr>
                  <pic:blipFill>
                    <a:blip r:embed="rId32" cstate="print"/>
                    <a:stretch>
                      <a:fillRect/>
                    </a:stretch>
                  </pic:blipFill>
                  <pic:spPr>
                    <a:xfrm>
                      <a:off x="0" y="0"/>
                      <a:ext cx="3040075" cy="3809619"/>
                    </a:xfrm>
                    <a:prstGeom prst="rect">
                      <a:avLst/>
                    </a:prstGeom>
                  </pic:spPr>
                </pic:pic>
              </a:graphicData>
            </a:graphic>
          </wp:inline>
        </w:drawing>
      </w:r>
      <w:r>
        <w:rPr/>
      </w:r>
    </w:p>
    <w:p>
      <w:pPr>
        <w:pStyle w:val="BodyText"/>
        <w:spacing w:before="1"/>
        <w:rPr>
          <w:sz w:val="13"/>
        </w:rPr>
      </w:pPr>
    </w:p>
    <w:p>
      <w:pPr>
        <w:spacing w:line="213" w:lineRule="auto" w:before="0"/>
        <w:ind w:left="132" w:right="302" w:firstLine="0"/>
        <w:jc w:val="left"/>
        <w:rPr>
          <w:sz w:val="16"/>
        </w:rPr>
      </w:pPr>
      <w:bookmarkStart w:name="_bookmark0" w:id="1"/>
      <w:bookmarkEnd w:id="1"/>
      <w:r>
        <w:rPr/>
      </w:r>
      <w:r>
        <w:rPr>
          <w:sz w:val="16"/>
        </w:rPr>
        <w:t>无花果。 6. 搅拌机试验现场的模具照片。 模具尺寸到垫架外面是1.24毫米乘1.8毫米。 其他组件位置见文本。</w:t>
      </w:r>
    </w:p>
    <w:p>
      <w:pPr>
        <w:pStyle w:val="BodyText"/>
        <w:rPr>
          <w:sz w:val="16"/>
        </w:rPr>
      </w:pPr>
    </w:p>
    <w:p>
      <w:pPr>
        <w:pStyle w:val="BodyText"/>
        <w:spacing w:line="252" w:lineRule="auto" w:before="122"/>
        <w:ind w:left="132"/>
        <w:jc w:val="both"/>
      </w:pPr>
      <w:r>
        <w:rPr>
          <w:spacing w:val="3"/>
        </w:rPr>
        <w:t>输出缓冲器的电感位于中心。 输入匹配电感L1</w:t>
      </w:r>
      <w:r>
        <w:rPr/>
        <w:t>可以看到</w:t>
      </w:r>
      <w:r>
        <w:rPr>
          <w:spacing w:val="9"/>
          <w:w w:val="95"/>
        </w:rPr>
        <w:t>从射频输入垫延伸到输入晶体管</w:t>
      </w:r>
      <w:r>
        <w:rPr>
          <w:spacing w:val="6"/>
          <w:w w:val="95"/>
        </w:rPr>
        <w:t>Q1</w:t>
      </w:r>
      <w:r>
        <w:rPr>
          <w:spacing w:val="9"/>
          <w:w w:val="95"/>
        </w:rPr>
        <w:t>，位于</w:t>
      </w:r>
      <w:r>
        <w:rPr>
          <w:spacing w:val="4"/>
          <w:w w:val="95"/>
        </w:rPr>
        <w:t>L2</w:t>
      </w:r>
      <w:r>
        <w:rPr>
          <w:spacing w:val="12"/>
          <w:w w:val="95"/>
        </w:rPr>
        <w:t>和</w:t>
      </w:r>
      <w:r>
        <w:rPr>
          <w:spacing w:val="4"/>
          <w:w w:val="95"/>
        </w:rPr>
        <w:t>L3</w:t>
      </w:r>
      <w:r>
        <w:rPr>
          <w:spacing w:val="6"/>
          <w:w w:val="95"/>
        </w:rPr>
        <w:t>之间。 </w:t>
      </w:r>
      <w:r>
        <w:rPr>
          <w:spacing w:val="6"/>
        </w:rPr>
        <w:t>试验地点为</w:t>
      </w:r>
    </w:p>
    <w:p>
      <w:pPr>
        <w:pStyle w:val="BodyText"/>
        <w:spacing w:line="239" w:lineRule="exact"/>
        <w:ind w:left="132"/>
      </w:pPr>
      <w:r>
        <w:rPr/>
        <w:t>垫架外侧1.24mm乘1.8mm。</w:t>
      </w:r>
    </w:p>
    <w:p>
      <w:pPr>
        <w:pStyle w:val="BodyText"/>
        <w:spacing w:line="252" w:lineRule="auto"/>
        <w:ind w:left="132" w:firstLine="196"/>
        <w:jc w:val="both"/>
      </w:pPr>
      <w:r>
        <w:rPr/>
        <w:drawing>
          <wp:anchor distT="0" distB="0" distL="0" distR="0" allowOverlap="1" layoutInCell="1" locked="0" behindDoc="1" simplePos="0" relativeHeight="251369472">
            <wp:simplePos x="0" y="0"/>
            <wp:positionH relativeFrom="page">
              <wp:posOffset>3104388</wp:posOffset>
            </wp:positionH>
            <wp:positionV relativeFrom="paragraph">
              <wp:posOffset>385457</wp:posOffset>
            </wp:positionV>
            <wp:extent cx="74675" cy="6096"/>
            <wp:effectExtent l="0" t="0" r="0" b="0"/>
            <wp:wrapNone/>
            <wp:docPr id="67" name="image3.png"/>
            <wp:cNvGraphicFramePr>
              <a:graphicFrameLocks noChangeAspect="1"/>
            </wp:cNvGraphicFramePr>
            <a:graphic>
              <a:graphicData uri="http://schemas.openxmlformats.org/drawingml/2006/picture">
                <pic:pic>
                  <pic:nvPicPr>
                    <pic:cNvPr id="68" name="image3.png"/>
                    <pic:cNvPicPr/>
                  </pic:nvPicPr>
                  <pic:blipFill>
                    <a:blip r:embed="rId11" cstate="print"/>
                    <a:stretch>
                      <a:fillRect/>
                    </a:stretch>
                  </pic:blipFill>
                  <pic:spPr>
                    <a:xfrm>
                      <a:off x="0" y="0"/>
                      <a:ext cx="74675" cy="6096"/>
                    </a:xfrm>
                    <a:prstGeom prst="rect">
                      <a:avLst/>
                    </a:prstGeom>
                  </pic:spPr>
                </pic:pic>
              </a:graphicData>
            </a:graphic>
          </wp:anchor>
        </w:drawing>
      </w:r>
      <w:r>
        <w:rPr/>
        <w:drawing>
          <wp:anchor distT="0" distB="0" distL="0" distR="0" allowOverlap="1" layoutInCell="1" locked="0" behindDoc="1" simplePos="0" relativeHeight="251370496">
            <wp:simplePos x="0" y="0"/>
            <wp:positionH relativeFrom="page">
              <wp:posOffset>1589532</wp:posOffset>
            </wp:positionH>
            <wp:positionV relativeFrom="paragraph">
              <wp:posOffset>537857</wp:posOffset>
            </wp:positionV>
            <wp:extent cx="74675" cy="6096"/>
            <wp:effectExtent l="0" t="0" r="0" b="0"/>
            <wp:wrapNone/>
            <wp:docPr id="69" name="image3.png"/>
            <wp:cNvGraphicFramePr>
              <a:graphicFrameLocks noChangeAspect="1"/>
            </wp:cNvGraphicFramePr>
            <a:graphic>
              <a:graphicData uri="http://schemas.openxmlformats.org/drawingml/2006/picture">
                <pic:pic>
                  <pic:nvPicPr>
                    <pic:cNvPr id="70" name="image3.png"/>
                    <pic:cNvPicPr/>
                  </pic:nvPicPr>
                  <pic:blipFill>
                    <a:blip r:embed="rId11" cstate="print"/>
                    <a:stretch>
                      <a:fillRect/>
                    </a:stretch>
                  </pic:blipFill>
                  <pic:spPr>
                    <a:xfrm>
                      <a:off x="0" y="0"/>
                      <a:ext cx="74675" cy="6096"/>
                    </a:xfrm>
                    <a:prstGeom prst="rect">
                      <a:avLst/>
                    </a:prstGeom>
                  </pic:spPr>
                </pic:pic>
              </a:graphicData>
            </a:graphic>
          </wp:anchor>
        </w:drawing>
      </w:r>
      <w:r>
        <w:rPr>
          <w:spacing w:val="7"/>
          <w:w w:val="95"/>
        </w:rPr>
        <w:t>目前的超外差混合器的</w:t>
      </w:r>
      <w:r>
        <w:rPr>
          <w:w w:val="95"/>
        </w:rPr>
        <w:t>13-dBNF</w:t>
      </w:r>
      <w:r>
        <w:rPr>
          <w:spacing w:val="6"/>
          <w:w w:val="95"/>
        </w:rPr>
        <w:t>与以前报道的直接降变 </w:t>
      </w:r>
      <w:r>
        <w:rPr>
          <w:spacing w:val="6"/>
        </w:rPr>
        <w:t>频器的NF相当，但7dBm的超外差混合器的ICP1dB比直接降</w:t>
      </w:r>
      <w:r>
        <w:rPr>
          <w:spacing w:val="8"/>
        </w:rPr>
        <w:t>变频器的</w:t>
      </w:r>
      <w:r>
        <w:rPr/>
        <w:t>17-dBm</w:t>
      </w:r>
      <w:r>
        <w:rPr>
          <w:spacing w:val="6"/>
        </w:rPr>
        <w:t> </w:t>
      </w:r>
      <w:r>
        <w:rPr/>
        <w:t>ICP1dB</w:t>
      </w:r>
      <w:r>
        <w:rPr>
          <w:spacing w:val="9"/>
        </w:rPr>
        <w:t>好</w:t>
      </w:r>
      <w:r>
        <w:rPr/>
        <w:t>10dB</w:t>
      </w:r>
      <w:r>
        <w:rPr>
          <w:spacing w:val="9"/>
        </w:rPr>
        <w:t>。</w:t>
      </w:r>
      <w:hyperlink w:history="true" w:anchor="_bookmark0">
        <w:r>
          <w:rPr/>
          <w:t>[8],</w:t>
        </w:r>
      </w:hyperlink>
      <w:hyperlink w:history="true" w:anchor="_bookmark0">
        <w:r>
          <w:rPr/>
          <w:t>[8],</w:t>
        </w:r>
      </w:hyperlink>
      <w:r>
        <w:rPr>
          <w:spacing w:val="7"/>
        </w:rPr>
        <w:t> 在具有先前报道的LNA的单个IC中，具有17dB的增益和4.4dB或更好的</w:t>
      </w:r>
      <w:r>
        <w:rPr>
          <w:spacing w:val="10"/>
          <w:w w:val="95"/>
        </w:rPr>
        <w:t>NF</w:t>
      </w:r>
      <w:r>
        <w:rPr>
          <w:spacing w:val="14"/>
          <w:w w:val="95"/>
        </w:rPr>
        <w:t>，超外差和直接转换混合器都将在</w:t>
      </w:r>
      <w:r>
        <w:rPr>
          <w:spacing w:val="3"/>
          <w:w w:val="95"/>
        </w:rPr>
        <w:t>5-6dB</w:t>
      </w:r>
      <w:r>
        <w:rPr>
          <w:spacing w:val="10"/>
          <w:w w:val="95"/>
        </w:rPr>
        <w:t>范围内提供</w:t>
      </w:r>
      <w:r>
        <w:rPr/>
        <w:t>RFICNF</w:t>
      </w:r>
      <w:r>
        <w:rPr>
          <w:spacing w:val="4"/>
        </w:rPr>
        <w:t>，这两者似乎都是高度集成的</w:t>
      </w:r>
      <w:r>
        <w:rPr/>
        <w:t>60GHz</w:t>
      </w:r>
      <w:r>
        <w:rPr>
          <w:spacing w:val="5"/>
        </w:rPr>
        <w:t>收发器芯片的实际选择。</w:t>
      </w:r>
    </w:p>
    <w:p>
      <w:pPr>
        <w:pStyle w:val="BodyText"/>
        <w:spacing w:before="5"/>
      </w:pPr>
    </w:p>
    <w:p>
      <w:pPr>
        <w:pStyle w:val="ListParagraph"/>
        <w:numPr>
          <w:ilvl w:val="0"/>
          <w:numId w:val="1"/>
        </w:numPr>
        <w:tabs>
          <w:tab w:pos="2283" w:val="left" w:leader="none"/>
        </w:tabs>
        <w:spacing w:line="240" w:lineRule="auto" w:before="0" w:after="0"/>
        <w:ind w:left="2282" w:right="0" w:hanging="337"/>
        <w:jc w:val="left"/>
        <w:rPr>
          <w:sz w:val="16"/>
        </w:rPr>
      </w:pPr>
      <w:r>
        <w:rPr>
          <w:sz w:val="16"/>
        </w:rPr>
        <w:t>结论</w:t>
      </w:r>
    </w:p>
    <w:p>
      <w:pPr>
        <w:pStyle w:val="BodyText"/>
        <w:spacing w:line="252" w:lineRule="auto" w:before="110"/>
        <w:ind w:left="132" w:firstLine="199"/>
        <w:jc w:val="both"/>
      </w:pPr>
      <w:r>
        <w:rPr/>
        <w:t>报道了一种单平衡吉尔伯特混频器，用于60GHz ISM频段，并在SiGe双极技术中制造。 它是最早报道的硅活性混合器之一</w:t>
      </w:r>
    </w:p>
    <w:p>
      <w:pPr>
        <w:pStyle w:val="BodyText"/>
        <w:spacing w:line="252" w:lineRule="auto" w:before="135"/>
        <w:ind w:left="195" w:right="223"/>
        <w:jc w:val="both"/>
      </w:pPr>
      <w:r>
        <w:rPr/>
        <w:br w:type="column"/>
      </w:r>
      <w:r>
        <w:rPr>
          <w:spacing w:val="3"/>
        </w:rPr>
        <w:t>在这些频率上。 该混频器使用低侧LO</w:t>
      </w:r>
      <w:r>
        <w:rPr>
          <w:spacing w:val="6"/>
        </w:rPr>
        <w:t>注入在</w:t>
      </w:r>
      <w:r>
        <w:rPr/>
        <w:t>48-56GHz和8.3-9.1GHz变量IF。 它实现了13dBNF，并且具有大于9dB 的电压转换增益，混频器电流消耗为3.2mA。 包括用于测</w:t>
      </w:r>
      <w:r>
        <w:rPr>
          <w:spacing w:val="5"/>
          <w:w w:val="95"/>
        </w:rPr>
        <w:t>试目的的中频输出缓冲器，它具有大于</w:t>
      </w:r>
      <w:r>
        <w:rPr>
          <w:w w:val="95"/>
        </w:rPr>
        <w:t>6dB</w:t>
      </w:r>
      <w:r>
        <w:rPr>
          <w:spacing w:val="4"/>
          <w:w w:val="95"/>
        </w:rPr>
        <w:t>的功率转换增 </w:t>
      </w:r>
      <w:r>
        <w:rPr>
          <w:spacing w:val="5"/>
        </w:rPr>
        <w:t>益和</w:t>
      </w:r>
      <w:r>
        <w:rPr/>
        <w:t>19.2-m</w:t>
      </w:r>
      <w:r>
        <w:rPr>
          <w:spacing w:val="1"/>
        </w:rPr>
        <w:t>的总电流。 这种混频器的设计和测试是在硅中制造高度集成的60GHz收发器系统的第一步之一。</w:t>
      </w:r>
    </w:p>
    <w:p>
      <w:pPr>
        <w:pStyle w:val="BodyText"/>
        <w:spacing w:before="7"/>
        <w:rPr>
          <w:sz w:val="21"/>
        </w:rPr>
      </w:pPr>
    </w:p>
    <w:p>
      <w:pPr>
        <w:spacing w:before="0"/>
        <w:ind w:left="2366" w:right="2394" w:firstLine="0"/>
        <w:jc w:val="center"/>
        <w:rPr>
          <w:sz w:val="16"/>
        </w:rPr>
      </w:pPr>
      <w:r>
        <w:rPr>
          <w:sz w:val="16"/>
        </w:rPr>
        <w:t>承认</w:t>
      </w:r>
    </w:p>
    <w:p>
      <w:pPr>
        <w:pStyle w:val="BodyText"/>
        <w:spacing w:before="113"/>
        <w:ind w:left="394"/>
      </w:pPr>
      <w:r>
        <w:rPr/>
        <w:t>提交人谨感谢缔约国的协助</w:t>
      </w:r>
    </w:p>
    <w:p>
      <w:pPr>
        <w:pStyle w:val="BodyText"/>
        <w:spacing w:line="252" w:lineRule="auto" w:before="12"/>
        <w:ind w:left="195" w:right="222"/>
        <w:jc w:val="both"/>
      </w:pPr>
      <w:r>
        <w:rPr/>
        <w:t>B.Floyd</w:t>
      </w:r>
      <w:r>
        <w:rPr>
          <w:spacing w:val="-36"/>
        </w:rPr>
        <w:t> ， </w:t>
      </w:r>
      <w:r>
        <w:rPr/>
        <w:t>U.Pfeiffer</w:t>
      </w:r>
      <w:r>
        <w:rPr>
          <w:spacing w:val="-36"/>
        </w:rPr>
        <w:t> ， </w:t>
      </w:r>
      <w:r>
        <w:rPr/>
        <w:t>T</w:t>
      </w:r>
      <w:r>
        <w:rPr>
          <w:spacing w:val="-15"/>
        </w:rPr>
        <w:t> 。 兹 威克， </w:t>
      </w:r>
      <w:r>
        <w:rPr/>
        <w:t>T</w:t>
      </w:r>
      <w:r>
        <w:rPr>
          <w:spacing w:val="-36"/>
        </w:rPr>
        <w:t> 。 </w:t>
      </w:r>
      <w:r>
        <w:rPr/>
        <w:t>Beukema</w:t>
      </w:r>
      <w:r>
        <w:rPr>
          <w:spacing w:val="-27"/>
        </w:rPr>
        <w:t> ， D.Beisser，以及整个IBM </w:t>
      </w:r>
      <w:r>
        <w:rPr/>
        <w:t>Si Ge技术开发集团，也要感谢B。 高彻，D。 弗里德曼，M。 联盟，和M。 奥普里斯科为他们的支持。</w:t>
      </w:r>
    </w:p>
    <w:p>
      <w:pPr>
        <w:pStyle w:val="BodyText"/>
        <w:spacing w:before="7"/>
        <w:rPr>
          <w:sz w:val="21"/>
        </w:rPr>
      </w:pPr>
    </w:p>
    <w:p>
      <w:pPr>
        <w:spacing w:before="1"/>
        <w:ind w:left="2368" w:right="2394" w:firstLine="0"/>
        <w:jc w:val="center"/>
        <w:rPr>
          <w:sz w:val="16"/>
        </w:rPr>
      </w:pPr>
      <w:r>
        <w:rPr>
          <w:sz w:val="16"/>
        </w:rPr>
        <w:t>参考资料</w:t>
      </w:r>
    </w:p>
    <w:p>
      <w:pPr>
        <w:pStyle w:val="ListParagraph"/>
        <w:numPr>
          <w:ilvl w:val="0"/>
          <w:numId w:val="2"/>
        </w:numPr>
        <w:tabs>
          <w:tab w:pos="288" w:val="left" w:leader="none"/>
        </w:tabs>
        <w:spacing w:line="193" w:lineRule="exact" w:before="73" w:after="0"/>
        <w:ind w:left="418" w:right="221" w:hanging="419"/>
        <w:jc w:val="right"/>
        <w:rPr>
          <w:sz w:val="16"/>
        </w:rPr>
      </w:pPr>
      <w:r>
        <w:rPr>
          <w:sz w:val="16"/>
        </w:rPr>
        <w:t>Jagannathan</w:t>
      </w:r>
      <w:r>
        <w:rPr>
          <w:spacing w:val="-24"/>
          <w:sz w:val="16"/>
        </w:rPr>
        <w:t> </w:t>
      </w:r>
      <w:r>
        <w:rPr>
          <w:sz w:val="16"/>
        </w:rPr>
        <w:t>B.，Khater</w:t>
      </w:r>
      <w:r>
        <w:rPr>
          <w:spacing w:val="-2"/>
          <w:sz w:val="16"/>
        </w:rPr>
        <w:t>先生，</w:t>
      </w:r>
      <w:r>
        <w:rPr>
          <w:sz w:val="16"/>
        </w:rPr>
        <w:t>F。Pagette，J.S.Rieh，D.Angell，</w:t>
      </w:r>
    </w:p>
    <w:p>
      <w:pPr>
        <w:spacing w:line="180" w:lineRule="exact" w:before="0"/>
        <w:ind w:left="0" w:right="221" w:firstLine="0"/>
        <w:jc w:val="right"/>
        <w:rPr>
          <w:sz w:val="16"/>
        </w:rPr>
      </w:pPr>
      <w:r>
        <w:rPr>
          <w:sz w:val="16"/>
        </w:rPr>
        <w:t>H</w:t>
      </w:r>
      <w:r>
        <w:rPr>
          <w:spacing w:val="-1"/>
          <w:sz w:val="16"/>
        </w:rPr>
        <w:t>。 陈，</w:t>
      </w:r>
    </w:p>
    <w:p>
      <w:pPr>
        <w:spacing w:line="180" w:lineRule="exact" w:before="0"/>
        <w:ind w:left="0" w:right="221" w:firstLine="0"/>
        <w:jc w:val="right"/>
        <w:rPr>
          <w:sz w:val="16"/>
        </w:rPr>
      </w:pPr>
      <w:r>
        <w:rPr>
          <w:sz w:val="16"/>
        </w:rPr>
        <w:t>j</w:t>
      </w:r>
      <w:r>
        <w:rPr>
          <w:spacing w:val="-2"/>
          <w:sz w:val="16"/>
        </w:rPr>
        <w:t>. 弗洛基，</w:t>
      </w:r>
      <w:r>
        <w:rPr>
          <w:sz w:val="16"/>
        </w:rPr>
        <w:t>F</w:t>
      </w:r>
      <w:r>
        <w:rPr>
          <w:spacing w:val="-1"/>
          <w:sz w:val="16"/>
        </w:rPr>
        <w:t>。 戈兰，</w:t>
      </w:r>
      <w:r>
        <w:rPr>
          <w:sz w:val="16"/>
        </w:rPr>
        <w:t>D。 r</w:t>
      </w:r>
      <w:r>
        <w:rPr>
          <w:spacing w:val="-2"/>
          <w:sz w:val="16"/>
        </w:rPr>
        <w:t>。 格林伯格，</w:t>
      </w:r>
      <w:r>
        <w:rPr>
          <w:spacing w:val="-3"/>
          <w:sz w:val="16"/>
        </w:rPr>
        <w:t>R</w:t>
      </w:r>
      <w:r>
        <w:rPr>
          <w:spacing w:val="-1"/>
          <w:sz w:val="16"/>
        </w:rPr>
        <w:t>。 格罗夫斯，</w:t>
      </w:r>
      <w:r>
        <w:rPr>
          <w:sz w:val="16"/>
        </w:rPr>
        <w:t>S。 j。</w:t>
      </w:r>
    </w:p>
    <w:p>
      <w:pPr>
        <w:spacing w:line="208" w:lineRule="auto" w:before="8"/>
        <w:ind w:left="178" w:right="219" w:firstLine="3760"/>
        <w:jc w:val="right"/>
        <w:rPr>
          <w:sz w:val="16"/>
        </w:rPr>
      </w:pPr>
      <w:r>
        <w:rPr>
          <w:spacing w:val="-2"/>
          <w:sz w:val="16"/>
        </w:rPr>
        <w:t>曾，</w:t>
      </w:r>
      <w:r>
        <w:rPr>
          <w:spacing w:val="-3"/>
          <w:sz w:val="16"/>
        </w:rPr>
        <w:t>J</w:t>
      </w:r>
      <w:r>
        <w:rPr>
          <w:sz w:val="16"/>
        </w:rPr>
        <w:t>。 约翰逊，</w:t>
      </w:r>
      <w:r>
        <w:rPr>
          <w:w w:val="100"/>
          <w:sz w:val="16"/>
        </w:rPr>
        <w:t> </w:t>
      </w:r>
      <w:r>
        <w:rPr>
          <w:sz w:val="16"/>
        </w:rPr>
        <w:t>E</w:t>
      </w:r>
      <w:r>
        <w:rPr>
          <w:spacing w:val="-1"/>
          <w:sz w:val="16"/>
        </w:rPr>
        <w:t>.门格斯图，</w:t>
      </w:r>
      <w:r>
        <w:rPr>
          <w:sz w:val="16"/>
        </w:rPr>
        <w:t>K</w:t>
      </w:r>
      <w:r>
        <w:rPr>
          <w:spacing w:val="-3"/>
          <w:sz w:val="16"/>
        </w:rPr>
        <w:t>。</w:t>
      </w:r>
      <w:r>
        <w:rPr>
          <w:sz w:val="16"/>
        </w:rPr>
        <w:t>t.Schonenberg，C.M.Schnabel，P</w:t>
      </w:r>
      <w:r>
        <w:rPr>
          <w:spacing w:val="-2"/>
          <w:sz w:val="16"/>
        </w:rPr>
        <w:t>。史密斯，</w:t>
      </w:r>
      <w:r>
        <w:rPr>
          <w:sz w:val="16"/>
        </w:rPr>
        <w:t>A</w:t>
      </w:r>
      <w:r>
        <w:rPr>
          <w:spacing w:val="-3"/>
          <w:sz w:val="16"/>
        </w:rPr>
        <w:t>。 史崔</w:t>
      </w:r>
    </w:p>
    <w:p>
      <w:pPr>
        <w:spacing w:line="179" w:lineRule="exact" w:before="0"/>
        <w:ind w:left="0" w:right="219" w:firstLine="0"/>
        <w:jc w:val="right"/>
        <w:rPr>
          <w:sz w:val="16"/>
        </w:rPr>
      </w:pPr>
      <w:r>
        <w:rPr>
          <w:spacing w:val="-1"/>
          <w:sz w:val="16"/>
        </w:rPr>
        <w:t>克，</w:t>
      </w:r>
    </w:p>
    <w:p>
      <w:pPr>
        <w:spacing w:line="235" w:lineRule="auto" w:before="0"/>
        <w:ind w:left="673" w:right="215" w:firstLine="0"/>
        <w:jc w:val="both"/>
        <w:rPr>
          <w:sz w:val="16"/>
        </w:rPr>
      </w:pPr>
      <w:r>
        <w:rPr/>
        <w:drawing>
          <wp:anchor distT="0" distB="0" distL="0" distR="0" allowOverlap="1" layoutInCell="1" locked="0" behindDoc="1" simplePos="0" relativeHeight="251371520">
            <wp:simplePos x="0" y="0"/>
            <wp:positionH relativeFrom="page">
              <wp:posOffset>5498591</wp:posOffset>
            </wp:positionH>
            <wp:positionV relativeFrom="paragraph">
              <wp:posOffset>176669</wp:posOffset>
            </wp:positionV>
            <wp:extent cx="190195" cy="44196"/>
            <wp:effectExtent l="0" t="0" r="0" b="0"/>
            <wp:wrapNone/>
            <wp:docPr id="71" name="image23.png"/>
            <wp:cNvGraphicFramePr>
              <a:graphicFrameLocks noChangeAspect="1"/>
            </wp:cNvGraphicFramePr>
            <a:graphic>
              <a:graphicData uri="http://schemas.openxmlformats.org/drawingml/2006/picture">
                <pic:pic>
                  <pic:nvPicPr>
                    <pic:cNvPr id="72" name="image23.png"/>
                    <pic:cNvPicPr/>
                  </pic:nvPicPr>
                  <pic:blipFill>
                    <a:blip r:embed="rId33" cstate="print"/>
                    <a:stretch>
                      <a:fillRect/>
                    </a:stretch>
                  </pic:blipFill>
                  <pic:spPr>
                    <a:xfrm>
                      <a:off x="0" y="0"/>
                      <a:ext cx="190195" cy="44196"/>
                    </a:xfrm>
                    <a:prstGeom prst="rect">
                      <a:avLst/>
                    </a:prstGeom>
                  </pic:spPr>
                </pic:pic>
              </a:graphicData>
            </a:graphic>
          </wp:anchor>
        </w:drawing>
      </w:r>
      <w:r>
        <w:rPr/>
        <w:drawing>
          <wp:anchor distT="0" distB="0" distL="0" distR="0" allowOverlap="1" layoutInCell="1" locked="0" behindDoc="1" simplePos="0" relativeHeight="251372544">
            <wp:simplePos x="0" y="0"/>
            <wp:positionH relativeFrom="page">
              <wp:posOffset>6368796</wp:posOffset>
            </wp:positionH>
            <wp:positionV relativeFrom="paragraph">
              <wp:posOffset>178193</wp:posOffset>
            </wp:positionV>
            <wp:extent cx="51815" cy="42672"/>
            <wp:effectExtent l="0" t="0" r="0" b="0"/>
            <wp:wrapNone/>
            <wp:docPr id="73" name="image24.png"/>
            <wp:cNvGraphicFramePr>
              <a:graphicFrameLocks noChangeAspect="1"/>
            </wp:cNvGraphicFramePr>
            <a:graphic>
              <a:graphicData uri="http://schemas.openxmlformats.org/drawingml/2006/picture">
                <pic:pic>
                  <pic:nvPicPr>
                    <pic:cNvPr id="74" name="image24.png"/>
                    <pic:cNvPicPr/>
                  </pic:nvPicPr>
                  <pic:blipFill>
                    <a:blip r:embed="rId34" cstate="print"/>
                    <a:stretch>
                      <a:fillRect/>
                    </a:stretch>
                  </pic:blipFill>
                  <pic:spPr>
                    <a:xfrm>
                      <a:off x="0" y="0"/>
                      <a:ext cx="51815" cy="42672"/>
                    </a:xfrm>
                    <a:prstGeom prst="rect">
                      <a:avLst/>
                    </a:prstGeom>
                  </pic:spPr>
                </pic:pic>
              </a:graphicData>
            </a:graphic>
          </wp:anchor>
        </w:drawing>
      </w:r>
      <w:r>
        <w:rPr>
          <w:w w:val="105"/>
          <w:sz w:val="16"/>
        </w:rPr>
        <w:t>d. 阿格伦，G。 弗里曼，K。斯坦因和S。 子版纳，“自对准SiGeNPN晶体管，285GHzf     和207GHzf在一个可制造的技术，“IEEE电子设备莱特。， 第二卷。 23， pp。 258- 260，2002年5月。</w:t>
      </w:r>
    </w:p>
    <w:p>
      <w:pPr>
        <w:pStyle w:val="ListParagraph"/>
        <w:numPr>
          <w:ilvl w:val="0"/>
          <w:numId w:val="2"/>
        </w:numPr>
        <w:tabs>
          <w:tab w:pos="674" w:val="left" w:leader="none"/>
        </w:tabs>
        <w:spacing w:line="235" w:lineRule="auto" w:before="0" w:after="0"/>
        <w:ind w:left="673" w:right="221" w:hanging="286"/>
        <w:jc w:val="both"/>
        <w:rPr>
          <w:sz w:val="16"/>
        </w:rPr>
      </w:pPr>
      <w:r>
        <w:rPr>
          <w:sz w:val="16"/>
        </w:rPr>
        <w:t>J.O.Plouchart，Kim</w:t>
      </w:r>
      <w:r>
        <w:rPr>
          <w:spacing w:val="-46"/>
          <w:sz w:val="16"/>
        </w:rPr>
        <w:t> </w:t>
      </w:r>
      <w:r>
        <w:rPr>
          <w:sz w:val="16"/>
        </w:rPr>
        <w:t>J.，N.Zamdmer，L.H.Lu，M.Sherony，Y 。Tan，R.Groves，R.Trzcinski，M。塔比，雷，还有</w:t>
      </w:r>
      <w:r>
        <w:rPr>
          <w:spacing w:val="3"/>
          <w:sz w:val="16"/>
        </w:rPr>
        <w:t>L</w:t>
      </w:r>
      <w:r>
        <w:rPr>
          <w:sz w:val="16"/>
        </w:rPr>
        <w:t>。瓦格纳， “A4-91GHz</w:t>
      </w:r>
      <w:r>
        <w:rPr>
          <w:spacing w:val="14"/>
          <w:sz w:val="16"/>
        </w:rPr>
        <w:t>分布式放大器在标准的</w:t>
      </w:r>
      <w:r>
        <w:rPr>
          <w:sz w:val="16"/>
        </w:rPr>
        <w:t>0.12</w:t>
      </w:r>
      <w:r>
        <w:rPr>
          <w:spacing w:val="-16"/>
          <w:sz w:val="16"/>
        </w:rPr>
        <w:t> 米</w:t>
      </w:r>
      <w:r>
        <w:rPr>
          <w:sz w:val="16"/>
        </w:rPr>
        <w:t>SOICMOS</w:t>
      </w:r>
      <w:r>
        <w:rPr>
          <w:spacing w:val="12"/>
          <w:sz w:val="16"/>
        </w:rPr>
        <w:t>微处理器技</w:t>
      </w:r>
      <w:r>
        <w:rPr>
          <w:spacing w:val="8"/>
          <w:sz w:val="16"/>
        </w:rPr>
        <w:t>术，”在</w:t>
      </w:r>
      <w:r>
        <w:rPr>
          <w:sz w:val="16"/>
        </w:rPr>
        <w:t>IEEE</w:t>
      </w:r>
      <w:r>
        <w:rPr>
          <w:spacing w:val="-1"/>
          <w:sz w:val="16"/>
        </w:rPr>
        <w:t> </w:t>
      </w:r>
      <w:r>
        <w:rPr>
          <w:sz w:val="16"/>
        </w:rPr>
        <w:t>CICCDig</w:t>
      </w:r>
      <w:r>
        <w:rPr>
          <w:spacing w:val="-2"/>
          <w:sz w:val="16"/>
        </w:rPr>
        <w:t>。，第</w:t>
      </w:r>
      <w:r>
        <w:rPr>
          <w:sz w:val="16"/>
        </w:rPr>
        <w:t>2003</w:t>
      </w:r>
      <w:r>
        <w:rPr>
          <w:spacing w:val="-2"/>
          <w:sz w:val="16"/>
        </w:rPr>
        <w:t>页。 </w:t>
      </w:r>
      <w:r>
        <w:rPr>
          <w:sz w:val="16"/>
        </w:rPr>
        <w:t>159–162.</w:t>
      </w:r>
    </w:p>
    <w:p>
      <w:pPr>
        <w:pStyle w:val="ListParagraph"/>
        <w:numPr>
          <w:ilvl w:val="0"/>
          <w:numId w:val="2"/>
        </w:numPr>
        <w:tabs>
          <w:tab w:pos="674" w:val="left" w:leader="none"/>
        </w:tabs>
        <w:spacing w:line="235" w:lineRule="auto" w:before="3" w:after="0"/>
        <w:ind w:left="673" w:right="221" w:hanging="286"/>
        <w:jc w:val="both"/>
        <w:rPr>
          <w:sz w:val="16"/>
        </w:rPr>
      </w:pPr>
      <w:r>
        <w:rPr>
          <w:sz w:val="16"/>
        </w:rPr>
        <w:t>h</w:t>
      </w:r>
      <w:r>
        <w:rPr>
          <w:spacing w:val="3"/>
          <w:sz w:val="16"/>
        </w:rPr>
        <w:t>. 李，</w:t>
      </w:r>
      <w:r>
        <w:rPr>
          <w:sz w:val="16"/>
        </w:rPr>
        <w:t>H</w:t>
      </w:r>
      <w:r>
        <w:rPr>
          <w:spacing w:val="8"/>
          <w:sz w:val="16"/>
        </w:rPr>
        <w:t>。 </w:t>
      </w:r>
      <w:r>
        <w:rPr>
          <w:spacing w:val="3"/>
          <w:sz w:val="16"/>
        </w:rPr>
        <w:t>m。 雷恩和</w:t>
      </w:r>
      <w:r>
        <w:rPr>
          <w:sz w:val="16"/>
        </w:rPr>
        <w:t>T。Suttorp，“具有高输出功率的W波段</w:t>
      </w:r>
      <w:r>
        <w:rPr>
          <w:spacing w:val="2"/>
          <w:sz w:val="16"/>
        </w:rPr>
        <w:t>VCO</w:t>
      </w:r>
      <w:r>
        <w:rPr>
          <w:spacing w:val="7"/>
          <w:sz w:val="16"/>
        </w:rPr>
        <w:t>的设计，在</w:t>
      </w:r>
      <w:r>
        <w:rPr>
          <w:sz w:val="16"/>
        </w:rPr>
        <w:t>77GHz</w:t>
      </w:r>
      <w:r>
        <w:rPr>
          <w:spacing w:val="5"/>
          <w:sz w:val="16"/>
        </w:rPr>
        <w:t>汽车雷达系统中具有潜在的应用前景”， </w:t>
      </w:r>
      <w:r>
        <w:rPr>
          <w:sz w:val="16"/>
        </w:rPr>
        <w:t>2003年IEEEGaAsIC</w:t>
      </w:r>
      <w:r>
        <w:rPr>
          <w:spacing w:val="-3"/>
          <w:sz w:val="16"/>
        </w:rPr>
        <w:t>标准。 摘要，</w:t>
      </w:r>
      <w:r>
        <w:rPr>
          <w:sz w:val="16"/>
        </w:rPr>
        <w:t>pp</w:t>
      </w:r>
      <w:r>
        <w:rPr>
          <w:spacing w:val="-1"/>
          <w:sz w:val="16"/>
        </w:rPr>
        <w:t>。 </w:t>
      </w:r>
      <w:r>
        <w:rPr>
          <w:sz w:val="16"/>
        </w:rPr>
        <w:t>263–266.</w:t>
      </w:r>
    </w:p>
    <w:p>
      <w:pPr>
        <w:pStyle w:val="ListParagraph"/>
        <w:numPr>
          <w:ilvl w:val="0"/>
          <w:numId w:val="2"/>
        </w:numPr>
        <w:tabs>
          <w:tab w:pos="674" w:val="left" w:leader="none"/>
        </w:tabs>
        <w:spacing w:line="232" w:lineRule="auto" w:before="3" w:after="0"/>
        <w:ind w:left="673" w:right="221" w:hanging="286"/>
        <w:jc w:val="left"/>
        <w:rPr>
          <w:sz w:val="16"/>
        </w:rPr>
      </w:pPr>
      <w:r>
        <w:rPr>
          <w:sz w:val="16"/>
        </w:rPr>
        <w:t>f</w:t>
      </w:r>
      <w:r>
        <w:rPr>
          <w:spacing w:val="4"/>
          <w:sz w:val="16"/>
        </w:rPr>
        <w:t>. 埃林格，“</w:t>
      </w:r>
      <w:r>
        <w:rPr>
          <w:sz w:val="16"/>
        </w:rPr>
        <w:t>26-42GHz</w:t>
      </w:r>
      <w:r>
        <w:rPr>
          <w:spacing w:val="15"/>
          <w:sz w:val="16"/>
        </w:rPr>
        <w:t> </w:t>
      </w:r>
      <w:r>
        <w:rPr>
          <w:sz w:val="16"/>
        </w:rPr>
        <w:t>SOICMOS</w:t>
      </w:r>
      <w:r>
        <w:rPr>
          <w:spacing w:val="5"/>
          <w:sz w:val="16"/>
        </w:rPr>
        <w:t>低噪声放大器”，</w:t>
      </w:r>
      <w:r>
        <w:rPr>
          <w:spacing w:val="2"/>
          <w:sz w:val="16"/>
        </w:rPr>
        <w:t>IEEEJ</w:t>
      </w:r>
      <w:r>
        <w:rPr>
          <w:spacing w:val="8"/>
          <w:sz w:val="16"/>
        </w:rPr>
        <w:t>。 固</w:t>
      </w:r>
      <w:r>
        <w:rPr>
          <w:spacing w:val="-2"/>
          <w:sz w:val="16"/>
        </w:rPr>
        <w:t>态电路，第二卷。 </w:t>
      </w:r>
      <w:r>
        <w:rPr>
          <w:sz w:val="16"/>
        </w:rPr>
        <w:t>39</w:t>
      </w:r>
      <w:r>
        <w:rPr>
          <w:spacing w:val="-1"/>
          <w:sz w:val="16"/>
        </w:rPr>
        <w:t>页。 </w:t>
      </w:r>
      <w:r>
        <w:rPr>
          <w:sz w:val="16"/>
        </w:rPr>
        <w:t>522-528年3</w:t>
      </w:r>
      <w:r>
        <w:rPr>
          <w:spacing w:val="-1"/>
          <w:sz w:val="16"/>
        </w:rPr>
        <w:t>月。 </w:t>
      </w:r>
      <w:r>
        <w:rPr>
          <w:sz w:val="16"/>
        </w:rPr>
        <w:t>2004.</w:t>
      </w:r>
    </w:p>
    <w:p>
      <w:pPr>
        <w:pStyle w:val="ListParagraph"/>
        <w:numPr>
          <w:ilvl w:val="0"/>
          <w:numId w:val="2"/>
        </w:numPr>
        <w:tabs>
          <w:tab w:pos="674" w:val="left" w:leader="none"/>
        </w:tabs>
        <w:spacing w:line="208" w:lineRule="auto" w:before="7" w:after="0"/>
        <w:ind w:left="673" w:right="116" w:hanging="288"/>
        <w:jc w:val="left"/>
        <w:rPr>
          <w:sz w:val="16"/>
        </w:rPr>
      </w:pPr>
      <w:r>
        <w:rPr>
          <w:sz w:val="16"/>
        </w:rPr>
        <w:t>k</w:t>
      </w:r>
      <w:r>
        <w:rPr>
          <w:spacing w:val="4"/>
          <w:sz w:val="16"/>
        </w:rPr>
        <w:t>. 噢塔，K</w:t>
      </w:r>
      <w:r>
        <w:rPr>
          <w:spacing w:val="9"/>
          <w:sz w:val="16"/>
        </w:rPr>
        <w:t>。 </w:t>
      </w:r>
      <w:r>
        <w:rPr>
          <w:sz w:val="16"/>
        </w:rPr>
        <w:t>Maruhashi，M</w:t>
      </w:r>
      <w:r>
        <w:rPr>
          <w:spacing w:val="6"/>
          <w:sz w:val="16"/>
        </w:rPr>
        <w:t>。 伊藤，</w:t>
      </w:r>
      <w:r>
        <w:rPr>
          <w:spacing w:val="4"/>
          <w:sz w:val="16"/>
        </w:rPr>
        <w:t>S</w:t>
      </w:r>
      <w:r>
        <w:rPr>
          <w:spacing w:val="6"/>
          <w:sz w:val="16"/>
        </w:rPr>
        <w:t>。 西本，</w:t>
      </w:r>
      <w:r>
        <w:rPr>
          <w:spacing w:val="3"/>
          <w:sz w:val="16"/>
        </w:rPr>
        <w:t>K</w:t>
      </w:r>
      <w:r>
        <w:rPr>
          <w:spacing w:val="5"/>
          <w:sz w:val="16"/>
        </w:rPr>
        <w:t>。 伊奎娜， T</w:t>
      </w:r>
      <w:r>
        <w:rPr>
          <w:spacing w:val="1"/>
          <w:sz w:val="16"/>
        </w:rPr>
        <w:t>。 </w:t>
      </w:r>
      <w:r>
        <w:rPr>
          <w:sz w:val="16"/>
        </w:rPr>
        <w:t>Hashiguchi，</w:t>
      </w:r>
    </w:p>
    <w:p>
      <w:pPr>
        <w:spacing w:line="237" w:lineRule="auto" w:before="0"/>
        <w:ind w:left="673" w:right="221" w:firstLine="0"/>
        <w:jc w:val="both"/>
        <w:rPr>
          <w:sz w:val="16"/>
        </w:rPr>
      </w:pPr>
      <w:r>
        <w:rPr>
          <w:spacing w:val="20"/>
          <w:sz w:val="16"/>
        </w:rPr>
        <w:t>高桥</w:t>
      </w:r>
      <w:r>
        <w:rPr>
          <w:sz w:val="16"/>
        </w:rPr>
        <w:t>N</w:t>
      </w:r>
      <w:r>
        <w:rPr>
          <w:spacing w:val="-13"/>
          <w:sz w:val="16"/>
        </w:rPr>
        <w:t>. 和</w:t>
      </w:r>
      <w:r>
        <w:rPr>
          <w:sz w:val="16"/>
        </w:rPr>
        <w:t>Iwanaga</w:t>
      </w:r>
      <w:r>
        <w:rPr>
          <w:spacing w:val="-21"/>
          <w:sz w:val="16"/>
        </w:rPr>
        <w:t> ， “ 无线</w:t>
      </w:r>
      <w:r>
        <w:rPr>
          <w:sz w:val="16"/>
        </w:rPr>
        <w:t>1.25GB/s</w:t>
      </w:r>
      <w:r>
        <w:rPr>
          <w:spacing w:val="9"/>
          <w:sz w:val="16"/>
        </w:rPr>
        <w:t> 收发信机模块在</w:t>
      </w:r>
      <w:r>
        <w:rPr>
          <w:sz w:val="16"/>
        </w:rPr>
        <w:t>60GHz</w:t>
      </w:r>
      <w:r>
        <w:rPr>
          <w:spacing w:val="-30"/>
          <w:sz w:val="16"/>
        </w:rPr>
        <w:t> 频</w:t>
      </w:r>
      <w:r>
        <w:rPr>
          <w:spacing w:val="4"/>
          <w:sz w:val="16"/>
        </w:rPr>
        <w:t>段，”在</w:t>
      </w:r>
      <w:r>
        <w:rPr>
          <w:sz w:val="16"/>
        </w:rPr>
        <w:t>IEEE ISSC CDig</w:t>
      </w:r>
      <w:r>
        <w:rPr>
          <w:spacing w:val="5"/>
          <w:sz w:val="16"/>
        </w:rPr>
        <w:t>。 技术。 论文，</w:t>
      </w:r>
      <w:r>
        <w:rPr>
          <w:sz w:val="16"/>
        </w:rPr>
        <w:t>2002</w:t>
      </w:r>
      <w:r>
        <w:rPr>
          <w:spacing w:val="7"/>
          <w:sz w:val="16"/>
        </w:rPr>
        <w:t>年</w:t>
      </w:r>
      <w:r>
        <w:rPr>
          <w:spacing w:val="5"/>
          <w:sz w:val="16"/>
        </w:rPr>
        <w:t>2</w:t>
      </w:r>
      <w:r>
        <w:rPr>
          <w:spacing w:val="3"/>
          <w:sz w:val="16"/>
        </w:rPr>
        <w:t>月，第页。298–299.</w:t>
      </w:r>
    </w:p>
    <w:p>
      <w:pPr>
        <w:pStyle w:val="ListParagraph"/>
        <w:numPr>
          <w:ilvl w:val="0"/>
          <w:numId w:val="2"/>
        </w:numPr>
        <w:tabs>
          <w:tab w:pos="674" w:val="left" w:leader="none"/>
        </w:tabs>
        <w:spacing w:line="235" w:lineRule="auto" w:before="0" w:after="0"/>
        <w:ind w:left="673" w:right="206" w:hanging="286"/>
        <w:jc w:val="both"/>
        <w:rPr>
          <w:sz w:val="16"/>
        </w:rPr>
      </w:pPr>
      <w:r>
        <w:rPr>
          <w:sz w:val="16"/>
        </w:rPr>
        <w:t>p</w:t>
      </w:r>
      <w:r>
        <w:rPr>
          <w:spacing w:val="21"/>
          <w:sz w:val="16"/>
        </w:rPr>
        <w:t>. </w:t>
      </w:r>
      <w:r>
        <w:rPr>
          <w:sz w:val="16"/>
        </w:rPr>
        <w:t>Smulders，“利用60GHz频段进行本地无线多媒体接入：前景</w:t>
      </w:r>
      <w:r>
        <w:rPr>
          <w:spacing w:val="-3"/>
          <w:sz w:val="16"/>
        </w:rPr>
        <w:t>和未来方向”，</w:t>
      </w:r>
      <w:r>
        <w:rPr>
          <w:sz w:val="16"/>
        </w:rPr>
        <w:t>IEEE</w:t>
      </w:r>
      <w:r>
        <w:rPr>
          <w:spacing w:val="-3"/>
          <w:sz w:val="16"/>
        </w:rPr>
        <w:t>通信。 </w:t>
      </w:r>
      <w:r>
        <w:rPr>
          <w:sz w:val="16"/>
        </w:rPr>
        <w:t>Mag。，pp</w:t>
      </w:r>
      <w:r>
        <w:rPr>
          <w:spacing w:val="-2"/>
          <w:sz w:val="16"/>
        </w:rPr>
        <w:t>。 </w:t>
      </w:r>
      <w:r>
        <w:rPr>
          <w:sz w:val="16"/>
        </w:rPr>
        <w:t>140-147，Jan</w:t>
      </w:r>
      <w:r>
        <w:rPr>
          <w:spacing w:val="-1"/>
          <w:sz w:val="16"/>
        </w:rPr>
        <w:t>。 </w:t>
      </w:r>
      <w:r>
        <w:rPr>
          <w:sz w:val="16"/>
        </w:rPr>
        <w:t>2002.</w:t>
      </w:r>
    </w:p>
    <w:p>
      <w:pPr>
        <w:pStyle w:val="ListParagraph"/>
        <w:numPr>
          <w:ilvl w:val="0"/>
          <w:numId w:val="2"/>
        </w:numPr>
        <w:tabs>
          <w:tab w:pos="674" w:val="left" w:leader="none"/>
        </w:tabs>
        <w:spacing w:line="211" w:lineRule="auto" w:before="0" w:after="0"/>
        <w:ind w:left="673" w:right="118" w:hanging="288"/>
        <w:jc w:val="both"/>
        <w:rPr>
          <w:sz w:val="16"/>
        </w:rPr>
      </w:pPr>
      <w:r>
        <w:rPr>
          <w:sz w:val="16"/>
        </w:rPr>
        <w:t>M.Russell，</w:t>
      </w:r>
      <w:r>
        <w:rPr>
          <w:spacing w:val="-47"/>
          <w:sz w:val="16"/>
        </w:rPr>
        <w:t> </w:t>
      </w:r>
      <w:r>
        <w:rPr>
          <w:sz w:val="16"/>
        </w:rPr>
        <w:t>A.Crain，</w:t>
      </w:r>
      <w:r>
        <w:rPr>
          <w:spacing w:val="-47"/>
          <w:sz w:val="16"/>
        </w:rPr>
        <w:t> </w:t>
      </w:r>
      <w:r>
        <w:rPr>
          <w:sz w:val="16"/>
        </w:rPr>
        <w:t>A.Curran，</w:t>
      </w:r>
      <w:r>
        <w:rPr>
          <w:spacing w:val="-47"/>
          <w:sz w:val="16"/>
        </w:rPr>
        <w:t> </w:t>
      </w:r>
      <w:r>
        <w:rPr>
          <w:sz w:val="16"/>
        </w:rPr>
        <w:t>R.A.Campbell，</w:t>
      </w:r>
      <w:r>
        <w:rPr>
          <w:spacing w:val="-52"/>
          <w:sz w:val="16"/>
        </w:rPr>
        <w:t> </w:t>
      </w:r>
      <w:r>
        <w:rPr>
          <w:sz w:val="16"/>
        </w:rPr>
        <w:t>C.A.Drubin， and</w:t>
      </w:r>
    </w:p>
    <w:p>
      <w:pPr>
        <w:spacing w:line="230" w:lineRule="auto" w:before="0"/>
        <w:ind w:left="673" w:right="220" w:firstLine="0"/>
        <w:jc w:val="both"/>
        <w:rPr>
          <w:sz w:val="16"/>
        </w:rPr>
      </w:pPr>
      <w:r>
        <w:rPr>
          <w:sz w:val="16"/>
        </w:rPr>
        <w:t>w</w:t>
      </w:r>
      <w:r>
        <w:rPr>
          <w:spacing w:val="8"/>
          <w:sz w:val="16"/>
        </w:rPr>
        <w:t>. </w:t>
      </w:r>
      <w:r>
        <w:rPr>
          <w:spacing w:val="5"/>
          <w:sz w:val="16"/>
        </w:rPr>
        <w:t>f</w:t>
      </w:r>
      <w:r>
        <w:rPr>
          <w:spacing w:val="14"/>
          <w:sz w:val="16"/>
        </w:rPr>
        <w:t>。 </w:t>
      </w:r>
      <w:r>
        <w:rPr>
          <w:sz w:val="16"/>
        </w:rPr>
        <w:t>Miccioli</w:t>
      </w:r>
      <w:r>
        <w:rPr>
          <w:spacing w:val="1"/>
          <w:sz w:val="16"/>
        </w:rPr>
        <w:t>，“用于汽车智能巡航控制的毫米波雷达传感器”，IEEE</w:t>
      </w:r>
      <w:r>
        <w:rPr>
          <w:spacing w:val="6"/>
          <w:sz w:val="16"/>
        </w:rPr>
        <w:t> </w:t>
      </w:r>
      <w:r>
        <w:rPr>
          <w:sz w:val="16"/>
        </w:rPr>
        <w:t>Trans</w:t>
      </w:r>
      <w:r>
        <w:rPr>
          <w:spacing w:val="1"/>
          <w:sz w:val="16"/>
        </w:rPr>
        <w:t>。 </w:t>
      </w:r>
      <w:r>
        <w:rPr>
          <w:i/>
          <w:spacing w:val="-50"/>
          <w:sz w:val="17"/>
        </w:rPr>
        <w:t>微波理论技术。</w:t>
      </w:r>
      <w:r>
        <w:rPr>
          <w:spacing w:val="1"/>
          <w:sz w:val="16"/>
        </w:rPr>
        <w:t>，第二卷。 </w:t>
      </w:r>
      <w:r>
        <w:rPr>
          <w:sz w:val="16"/>
        </w:rPr>
        <w:t>45</w:t>
      </w:r>
      <w:r>
        <w:rPr>
          <w:spacing w:val="2"/>
          <w:sz w:val="16"/>
        </w:rPr>
        <w:t>页。 </w:t>
      </w:r>
      <w:r>
        <w:rPr>
          <w:sz w:val="16"/>
        </w:rPr>
        <w:t>2444- 2453年12</w:t>
      </w:r>
      <w:r>
        <w:rPr>
          <w:spacing w:val="-1"/>
          <w:sz w:val="16"/>
        </w:rPr>
        <w:t>月。 </w:t>
      </w:r>
      <w:r>
        <w:rPr>
          <w:sz w:val="16"/>
        </w:rPr>
        <w:t>1997.</w:t>
      </w:r>
    </w:p>
    <w:p>
      <w:pPr>
        <w:pStyle w:val="ListParagraph"/>
        <w:numPr>
          <w:ilvl w:val="0"/>
          <w:numId w:val="2"/>
        </w:numPr>
        <w:tabs>
          <w:tab w:pos="674" w:val="left" w:leader="none"/>
        </w:tabs>
        <w:spacing w:line="230" w:lineRule="auto" w:before="5" w:after="0"/>
        <w:ind w:left="673" w:right="218" w:hanging="286"/>
        <w:jc w:val="both"/>
        <w:rPr>
          <w:sz w:val="16"/>
        </w:rPr>
      </w:pPr>
      <w:r>
        <w:rPr>
          <w:sz w:val="16"/>
        </w:rPr>
        <w:t>S.K.雷诺兹，B</w:t>
      </w:r>
      <w:r>
        <w:rPr>
          <w:spacing w:val="3"/>
          <w:sz w:val="16"/>
        </w:rPr>
        <w:t>。 弗洛伊德</w:t>
      </w:r>
      <w:r>
        <w:rPr>
          <w:sz w:val="16"/>
        </w:rPr>
        <w:t>A.，普菲弗尔和</w:t>
      </w:r>
      <w:r>
        <w:rPr>
          <w:spacing w:val="3"/>
          <w:sz w:val="16"/>
        </w:rPr>
        <w:t>T</w:t>
      </w:r>
      <w:r>
        <w:rPr>
          <w:sz w:val="16"/>
        </w:rPr>
        <w:t>。在IEEE</w:t>
      </w:r>
      <w:r>
        <w:rPr>
          <w:spacing w:val="23"/>
          <w:sz w:val="16"/>
        </w:rPr>
        <w:t> </w:t>
      </w:r>
      <w:r>
        <w:rPr>
          <w:sz w:val="16"/>
        </w:rPr>
        <w:t>ISSCCDig 中，Zwick，“SiGe双极技术中的60GHz</w:t>
      </w:r>
      <w:r>
        <w:rPr>
          <w:spacing w:val="1"/>
          <w:sz w:val="16"/>
        </w:rPr>
        <w:t>收发器电路。 </w:t>
      </w:r>
      <w:r>
        <w:rPr>
          <w:i/>
          <w:spacing w:val="-35"/>
          <w:sz w:val="17"/>
        </w:rPr>
        <w:t>技术。 </w:t>
      </w:r>
      <w:r>
        <w:rPr>
          <w:sz w:val="16"/>
        </w:rPr>
        <w:t>论文，2004年2</w:t>
      </w:r>
      <w:r>
        <w:rPr>
          <w:spacing w:val="-2"/>
          <w:sz w:val="16"/>
        </w:rPr>
        <w:t>月，第页。 </w:t>
      </w:r>
      <w:r>
        <w:rPr>
          <w:sz w:val="16"/>
        </w:rPr>
        <w:t>442–443.</w:t>
      </w:r>
    </w:p>
    <w:p>
      <w:pPr>
        <w:pStyle w:val="ListParagraph"/>
        <w:numPr>
          <w:ilvl w:val="0"/>
          <w:numId w:val="2"/>
        </w:numPr>
        <w:tabs>
          <w:tab w:pos="674" w:val="left" w:leader="none"/>
        </w:tabs>
        <w:spacing w:line="204" w:lineRule="auto" w:before="8" w:after="0"/>
        <w:ind w:left="673" w:right="116" w:hanging="288"/>
        <w:jc w:val="both"/>
        <w:rPr>
          <w:sz w:val="16"/>
        </w:rPr>
      </w:pPr>
      <w:r>
        <w:rPr>
          <w:spacing w:val="-1"/>
          <w:sz w:val="16"/>
        </w:rPr>
        <w:t>w.Perndl，H.Knapp，M。Wurzer，K.Aufinger，T</w:t>
      </w:r>
      <w:r>
        <w:rPr>
          <w:spacing w:val="-3"/>
          <w:sz w:val="16"/>
        </w:rPr>
        <w:t>。</w:t>
      </w:r>
      <w:r>
        <w:rPr>
          <w:sz w:val="16"/>
        </w:rPr>
        <w:t>f.梅斯特，J。</w:t>
      </w:r>
      <w:r>
        <w:rPr>
          <w:spacing w:val="-2"/>
          <w:sz w:val="16"/>
        </w:rPr>
        <w:t>博克，</w:t>
      </w:r>
    </w:p>
    <w:p>
      <w:pPr>
        <w:spacing w:line="237" w:lineRule="auto" w:before="0"/>
        <w:ind w:left="673" w:right="221" w:firstLine="0"/>
        <w:jc w:val="both"/>
        <w:rPr>
          <w:sz w:val="16"/>
        </w:rPr>
      </w:pPr>
      <w:r>
        <w:rPr>
          <w:sz w:val="16"/>
        </w:rPr>
        <w:t>w.Simburger和A.L.Scholtz，“一种用于77GHz汽车雷达前端的低噪声高增益双平衡混频器，在SiGe双极技术中，”在RFIC标准中。沃思，TX，2004年6月，pp。 47–50.</w:t>
      </w:r>
    </w:p>
    <w:p>
      <w:pPr>
        <w:pStyle w:val="ListParagraph"/>
        <w:numPr>
          <w:ilvl w:val="0"/>
          <w:numId w:val="2"/>
        </w:numPr>
        <w:tabs>
          <w:tab w:pos="674" w:val="left" w:leader="none"/>
        </w:tabs>
        <w:spacing w:line="237" w:lineRule="auto" w:before="0" w:after="0"/>
        <w:ind w:left="673" w:right="219" w:hanging="365"/>
        <w:jc w:val="both"/>
        <w:rPr>
          <w:sz w:val="16"/>
        </w:rPr>
      </w:pPr>
      <w:r>
        <w:rPr>
          <w:sz w:val="16"/>
        </w:rPr>
        <w:t>b</w:t>
      </w:r>
      <w:r>
        <w:rPr>
          <w:spacing w:val="23"/>
          <w:sz w:val="16"/>
        </w:rPr>
        <w:t>. </w:t>
      </w:r>
      <w:r>
        <w:rPr>
          <w:sz w:val="16"/>
        </w:rPr>
        <w:t>A.Floyd，“V波段和</w:t>
      </w:r>
      <w:r>
        <w:rPr>
          <w:spacing w:val="3"/>
          <w:sz w:val="16"/>
        </w:rPr>
        <w:t>W</w:t>
      </w:r>
      <w:r>
        <w:rPr>
          <w:sz w:val="16"/>
        </w:rPr>
        <w:t>波段SiGe双极低噪声放大器和电压控制振荡器”， 在</w:t>
      </w:r>
      <w:r>
        <w:rPr>
          <w:spacing w:val="3"/>
          <w:sz w:val="16"/>
        </w:rPr>
        <w:t>RFIC</w:t>
      </w:r>
      <w:r>
        <w:rPr>
          <w:spacing w:val="14"/>
          <w:sz w:val="16"/>
        </w:rPr>
        <w:t>同情。</w:t>
      </w:r>
      <w:r>
        <w:rPr>
          <w:spacing w:val="8"/>
          <w:sz w:val="16"/>
        </w:rPr>
        <w:t>Ft</w:t>
      </w:r>
      <w:r>
        <w:rPr>
          <w:sz w:val="16"/>
        </w:rPr>
        <w:t>。 沃思， </w:t>
      </w:r>
      <w:r>
        <w:rPr>
          <w:spacing w:val="5"/>
          <w:sz w:val="16"/>
        </w:rPr>
        <w:t>TX</w:t>
      </w:r>
      <w:r>
        <w:rPr>
          <w:spacing w:val="-30"/>
          <w:sz w:val="16"/>
        </w:rPr>
        <w:t>， </w:t>
      </w:r>
      <w:r>
        <w:rPr>
          <w:sz w:val="16"/>
        </w:rPr>
        <w:t>2004</w:t>
      </w:r>
      <w:r>
        <w:rPr>
          <w:spacing w:val="-25"/>
          <w:sz w:val="16"/>
        </w:rPr>
        <w:t> 年</w:t>
      </w:r>
      <w:r>
        <w:rPr>
          <w:sz w:val="16"/>
        </w:rPr>
        <w:t>6</w:t>
      </w:r>
      <w:r>
        <w:rPr>
          <w:spacing w:val="-29"/>
          <w:sz w:val="16"/>
        </w:rPr>
        <w:t> 月， </w:t>
      </w:r>
      <w:r>
        <w:rPr>
          <w:spacing w:val="8"/>
          <w:sz w:val="16"/>
        </w:rPr>
        <w:t>pp</w:t>
      </w:r>
      <w:r>
        <w:rPr>
          <w:sz w:val="16"/>
        </w:rPr>
        <w:t>。295–298.</w:t>
      </w:r>
    </w:p>
    <w:p>
      <w:pPr>
        <w:pStyle w:val="ListParagraph"/>
        <w:numPr>
          <w:ilvl w:val="0"/>
          <w:numId w:val="2"/>
        </w:numPr>
        <w:tabs>
          <w:tab w:pos="674" w:val="left" w:leader="none"/>
        </w:tabs>
        <w:spacing w:line="237" w:lineRule="auto" w:before="0" w:after="0"/>
        <w:ind w:left="673" w:right="221" w:hanging="365"/>
        <w:jc w:val="both"/>
        <w:rPr>
          <w:sz w:val="16"/>
        </w:rPr>
      </w:pPr>
      <w:r>
        <w:rPr>
          <w:sz w:val="16"/>
        </w:rPr>
        <w:t>u</w:t>
      </w:r>
      <w:r>
        <w:rPr>
          <w:spacing w:val="10"/>
          <w:sz w:val="16"/>
        </w:rPr>
        <w:t>. </w:t>
      </w:r>
      <w:r>
        <w:rPr>
          <w:sz w:val="16"/>
        </w:rPr>
        <w:t>r</w:t>
      </w:r>
      <w:r>
        <w:rPr>
          <w:spacing w:val="-3"/>
          <w:sz w:val="16"/>
        </w:rPr>
        <w:t> 。 普菲弗， </w:t>
      </w:r>
      <w:r>
        <w:rPr>
          <w:sz w:val="16"/>
        </w:rPr>
        <w:t>S</w:t>
      </w:r>
      <w:r>
        <w:rPr>
          <w:spacing w:val="-5"/>
          <w:sz w:val="16"/>
        </w:rPr>
        <w:t> 。 </w:t>
      </w:r>
      <w:r>
        <w:rPr>
          <w:sz w:val="16"/>
        </w:rPr>
        <w:t>k</w:t>
      </w:r>
      <w:r>
        <w:rPr>
          <w:spacing w:val="9"/>
          <w:sz w:val="16"/>
        </w:rPr>
        <w:t> 。 雷诺兹和</w:t>
      </w:r>
      <w:r>
        <w:rPr>
          <w:sz w:val="16"/>
        </w:rPr>
        <w:t>B</w:t>
      </w:r>
      <w:r>
        <w:rPr>
          <w:spacing w:val="-5"/>
          <w:sz w:val="16"/>
        </w:rPr>
        <w:t> 。 </w:t>
      </w:r>
      <w:r>
        <w:rPr>
          <w:sz w:val="16"/>
        </w:rPr>
        <w:t>a</w:t>
      </w:r>
      <w:r>
        <w:rPr>
          <w:spacing w:val="7"/>
          <w:sz w:val="16"/>
        </w:rPr>
        <w:t> 。 弗洛伊德， “A77GHzSiGe</w:t>
      </w:r>
      <w:r>
        <w:rPr>
          <w:spacing w:val="8"/>
          <w:sz w:val="16"/>
        </w:rPr>
        <w:t>功率放大器在汽车雷达系统中的潜在应用”，在RFIC</w:t>
      </w:r>
      <w:r>
        <w:rPr>
          <w:spacing w:val="-1"/>
          <w:sz w:val="16"/>
        </w:rPr>
        <w:t>标准中。沃思，</w:t>
      </w:r>
      <w:r>
        <w:rPr>
          <w:sz w:val="16"/>
        </w:rPr>
        <w:t>TX，2004年6月，pp</w:t>
      </w:r>
      <w:r>
        <w:rPr>
          <w:spacing w:val="-1"/>
          <w:sz w:val="16"/>
        </w:rPr>
        <w:t>。 </w:t>
      </w:r>
      <w:r>
        <w:rPr>
          <w:sz w:val="16"/>
        </w:rPr>
        <w:t>91–94.</w:t>
      </w:r>
    </w:p>
    <w:sectPr>
      <w:pgSz w:w="11880" w:h="15840"/>
      <w:pgMar w:header="654" w:footer="50" w:top="1160" w:bottom="240" w:left="660" w:right="580"/>
      <w:cols w:num="2" w:equalWidth="0">
        <w:col w:w="5158" w:space="40"/>
        <w:col w:w="54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558998pt;margin-top:778.477356pt;width:313.4pt;height:8.950pt;mso-position-horizontal-relative:page;mso-position-vertical-relative:page;z-index:-251968512" type="#_x0000_t202" filled="false" stroked="false">
          <v:textbox inset="0,0,0,0">
            <w:txbxContent>
              <w:p>
                <w:pPr>
                  <w:spacing w:line="179" w:lineRule="exact" w:before="0"/>
                  <w:ind w:left="20" w:right="0" w:firstLine="0"/>
                  <w:jc w:val="left"/>
                  <w:rPr>
                    <w:sz w:val="14"/>
                  </w:rPr>
                </w:pPr>
                <w:r>
                  <w:rPr>
                    <w:sz w:val="14"/>
                  </w:rPr>
                  <w:t>授权许可用途限于：大连理工大学。 于12月13日2020时14：32：49从IEEE Xplore下载。 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558998pt;margin-top:778.477356pt;width:313.4pt;height:8.950pt;mso-position-horizontal-relative:page;mso-position-vertical-relative:page;z-index:-251967488" type="#_x0000_t202" filled="false" stroked="false">
          <v:textbox inset="0,0,0,0">
            <w:txbxContent>
              <w:p>
                <w:pPr>
                  <w:spacing w:line="179" w:lineRule="exact" w:before="0"/>
                  <w:ind w:left="20" w:right="0" w:firstLine="0"/>
                  <w:jc w:val="left"/>
                  <w:rPr>
                    <w:sz w:val="14"/>
                  </w:rPr>
                </w:pPr>
                <w:r>
                  <w:rPr>
                    <w:sz w:val="14"/>
                  </w:rPr>
                  <w:t>授权许可用途限于：大连理工大学。 于12月13日2020时14：32：49从IEEE Xplore下载。 限制适用。</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350016">
          <wp:simplePos x="0" y="0"/>
          <wp:positionH relativeFrom="page">
            <wp:posOffset>2287523</wp:posOffset>
          </wp:positionH>
          <wp:positionV relativeFrom="page">
            <wp:posOffset>8593835</wp:posOffset>
          </wp:positionV>
          <wp:extent cx="74675" cy="6096"/>
          <wp:effectExtent l="0" t="0" r="0" b="0"/>
          <wp:wrapNone/>
          <wp:docPr id="31" name="image3.png"/>
          <wp:cNvGraphicFramePr>
            <a:graphicFrameLocks noChangeAspect="1"/>
          </wp:cNvGraphicFramePr>
          <a:graphic>
            <a:graphicData uri="http://schemas.openxmlformats.org/drawingml/2006/picture">
              <pic:pic>
                <pic:nvPicPr>
                  <pic:cNvPr id="32" name="image3.png"/>
                  <pic:cNvPicPr/>
                </pic:nvPicPr>
                <pic:blipFill>
                  <a:blip r:embed="rId1" cstate="print"/>
                  <a:stretch>
                    <a:fillRect/>
                  </a:stretch>
                </pic:blipFill>
                <pic:spPr>
                  <a:xfrm>
                    <a:off x="0" y="0"/>
                    <a:ext cx="74675" cy="6096"/>
                  </a:xfrm>
                  <a:prstGeom prst="rect">
                    <a:avLst/>
                  </a:prstGeom>
                </pic:spPr>
              </pic:pic>
            </a:graphicData>
          </a:graphic>
        </wp:anchor>
      </w:drawing>
    </w:r>
    <w:r>
      <w:rPr/>
      <w:drawing>
        <wp:anchor distT="0" distB="0" distL="0" distR="0" allowOverlap="1" layoutInCell="1" locked="0" behindDoc="1" simplePos="0" relativeHeight="251351040">
          <wp:simplePos x="0" y="0"/>
          <wp:positionH relativeFrom="page">
            <wp:posOffset>6562343</wp:posOffset>
          </wp:positionH>
          <wp:positionV relativeFrom="page">
            <wp:posOffset>7848600</wp:posOffset>
          </wp:positionV>
          <wp:extent cx="38100" cy="39624"/>
          <wp:effectExtent l="0" t="0" r="0" b="0"/>
          <wp:wrapNone/>
          <wp:docPr id="33" name="image15.png"/>
          <wp:cNvGraphicFramePr>
            <a:graphicFrameLocks noChangeAspect="1"/>
          </wp:cNvGraphicFramePr>
          <a:graphic>
            <a:graphicData uri="http://schemas.openxmlformats.org/drawingml/2006/picture">
              <pic:pic>
                <pic:nvPicPr>
                  <pic:cNvPr id="34" name="image15.png"/>
                  <pic:cNvPicPr/>
                </pic:nvPicPr>
                <pic:blipFill>
                  <a:blip r:embed="rId2" cstate="print"/>
                  <a:stretch>
                    <a:fillRect/>
                  </a:stretch>
                </pic:blipFill>
                <pic:spPr>
                  <a:xfrm>
                    <a:off x="0" y="0"/>
                    <a:ext cx="38100" cy="39624"/>
                  </a:xfrm>
                  <a:prstGeom prst="rect">
                    <a:avLst/>
                  </a:prstGeom>
                </pic:spPr>
              </pic:pic>
            </a:graphicData>
          </a:graphic>
        </wp:anchor>
      </w:drawing>
    </w:r>
    <w:r>
      <w:rPr/>
      <w:drawing>
        <wp:anchor distT="0" distB="0" distL="0" distR="0" allowOverlap="1" layoutInCell="1" locked="0" behindDoc="1" simplePos="0" relativeHeight="251352064">
          <wp:simplePos x="0" y="0"/>
          <wp:positionH relativeFrom="page">
            <wp:posOffset>4614671</wp:posOffset>
          </wp:positionH>
          <wp:positionV relativeFrom="page">
            <wp:posOffset>7697723</wp:posOffset>
          </wp:positionV>
          <wp:extent cx="38100" cy="39624"/>
          <wp:effectExtent l="0" t="0" r="0" b="0"/>
          <wp:wrapNone/>
          <wp:docPr id="35" name="image15.png"/>
          <wp:cNvGraphicFramePr>
            <a:graphicFrameLocks noChangeAspect="1"/>
          </wp:cNvGraphicFramePr>
          <a:graphic>
            <a:graphicData uri="http://schemas.openxmlformats.org/drawingml/2006/picture">
              <pic:pic>
                <pic:nvPicPr>
                  <pic:cNvPr id="36" name="image15.png"/>
                  <pic:cNvPicPr/>
                </pic:nvPicPr>
                <pic:blipFill>
                  <a:blip r:embed="rId2" cstate="print"/>
                  <a:stretch>
                    <a:fillRect/>
                  </a:stretch>
                </pic:blipFill>
                <pic:spPr>
                  <a:xfrm>
                    <a:off x="0" y="0"/>
                    <a:ext cx="38100" cy="39624"/>
                  </a:xfrm>
                  <a:prstGeom prst="rect">
                    <a:avLst/>
                  </a:prstGeom>
                </pic:spPr>
              </pic:pic>
            </a:graphicData>
          </a:graphic>
        </wp:anchor>
      </w:drawing>
    </w:r>
    <w:r>
      <w:rPr/>
      <w:pict>
        <v:shape style="position:absolute;margin-left:300.079987pt;margin-top:710.379211pt;width:111.95pt;height:11.95pt;mso-position-horizontal-relative:page;mso-position-vertical-relative:page;z-index:-251963392" type="#_x0000_t202" filled="false" stroked="false">
          <v:textbox inset="0,0,0,0">
            <w:txbxContent>
              <w:p>
                <w:pPr>
                  <w:pStyle w:val="BodyText"/>
                  <w:spacing w:line="239" w:lineRule="exact"/>
                  <w:ind w:left="20"/>
                </w:pPr>
                <w:r>
                  <w:rPr/>
                  <w:t>感L2和L3，以及螺旋负载</w:t>
                </w:r>
              </w:p>
            </w:txbxContent>
          </v:textbox>
          <w10:wrap type="none"/>
        </v:shape>
      </w:pict>
    </w:r>
    <w:r>
      <w:rPr/>
      <w:pict>
        <v:shape style="position:absolute;margin-left:48.558998pt;margin-top:778.477356pt;width:313.4pt;height:8.950pt;mso-position-horizontal-relative:page;mso-position-vertical-relative:page;z-index:-251962368" type="#_x0000_t202" filled="false" stroked="false">
          <v:textbox inset="0,0,0,0">
            <w:txbxContent>
              <w:p>
                <w:pPr>
                  <w:spacing w:line="179" w:lineRule="exact" w:before="0"/>
                  <w:ind w:left="20" w:right="0" w:firstLine="0"/>
                  <w:jc w:val="left"/>
                  <w:rPr>
                    <w:sz w:val="14"/>
                  </w:rPr>
                </w:pPr>
                <w:r>
                  <w:rPr>
                    <w:sz w:val="14"/>
                  </w:rPr>
                  <w:t>授权许可用途限于：大连理工大学。 于12月13日2020时14：32：49从IEEE Xplore下载。 限制适用。</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558998pt;margin-top:778.477356pt;width:313.4pt;height:8.950pt;mso-position-horizontal-relative:page;mso-position-vertical-relative:page;z-index:-251961344" type="#_x0000_t202" filled="false" stroked="false">
          <v:textbox inset="0,0,0,0">
            <w:txbxContent>
              <w:p>
                <w:pPr>
                  <w:spacing w:line="179" w:lineRule="exact" w:before="0"/>
                  <w:ind w:left="20" w:right="0" w:firstLine="0"/>
                  <w:jc w:val="left"/>
                  <w:rPr>
                    <w:sz w:val="14"/>
                  </w:rPr>
                </w:pPr>
                <w:r>
                  <w:rPr>
                    <w:sz w:val="14"/>
                  </w:rPr>
                  <w:t>授权许可用途限于：大连理工大学。 于12月13日2020时14：32：49从IEEE Xplore下载。 限制适用。</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6.200012pt;margin-top:34.015762pt;width:17.95pt;height:9.7pt;mso-position-horizontal-relative:page;mso-position-vertical-relative:page;z-index:-251972608" type="#_x0000_t202" filled="false" stroked="false">
          <v:textbox inset="0,0,0,0">
            <w:txbxContent>
              <w:p>
                <w:pPr>
                  <w:spacing w:before="13"/>
                  <w:ind w:left="40" w:right="0" w:firstLine="0"/>
                  <w:jc w:val="left"/>
                  <w:rPr>
                    <w:rFonts w:ascii="Times New Roman"/>
                    <w:sz w:val="14"/>
                  </w:rPr>
                </w:pPr>
                <w:r>
                  <w:rPr/>
                  <w:fldChar w:fldCharType="begin"/>
                </w:r>
                <w:r>
                  <w:rPr>
                    <w:rFonts w:ascii="Times New Roman"/>
                    <w:sz w:val="14"/>
                  </w:rPr>
                  <w:instrText> PAGE </w:instrText>
                </w:r>
                <w:r>
                  <w:rPr/>
                  <w:fldChar w:fldCharType="separate"/>
                </w:r>
                <w:r>
                  <w:rPr/>
                  <w:t>2065</w:t>
                </w:r>
                <w:r>
                  <w:rPr/>
                  <w:fldChar w:fldCharType="end"/>
                </w:r>
              </w:p>
            </w:txbxContent>
          </v:textbox>
          <w10:wrap type="none"/>
        </v:shape>
      </w:pict>
    </w:r>
    <w:r>
      <w:rPr/>
      <w:pict>
        <v:shape style="position:absolute;margin-left:37.040001pt;margin-top:34.717342pt;width:176.95pt;height:8.950pt;mso-position-horizontal-relative:page;mso-position-vertical-relative:page;z-index:-251971584" type="#_x0000_t202" filled="false" stroked="false">
          <v:textbox inset="0,0,0,0">
            <w:txbxContent>
              <w:p>
                <w:pPr>
                  <w:spacing w:line="179" w:lineRule="exact" w:before="0"/>
                  <w:ind w:left="20" w:right="0" w:firstLine="0"/>
                  <w:jc w:val="left"/>
                  <w:rPr>
                    <w:sz w:val="14"/>
                  </w:rPr>
                </w:pPr>
                <w:r>
                  <w:rPr>
                    <w:sz w:val="14"/>
                  </w:rPr>
                  <w:t>IEEE固态电路杂志，第二卷。 39，不。 11，2004年11月</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599998pt;margin-top:34.015762pt;width:17.95pt;height:9.7pt;mso-position-horizontal-relative:page;mso-position-vertical-relative:page;z-index:-251970560" type="#_x0000_t202" filled="false" stroked="false">
          <v:textbox inset="0,0,0,0">
            <w:txbxContent>
              <w:p>
                <w:pPr>
                  <w:spacing w:before="13"/>
                  <w:ind w:left="40" w:right="0" w:firstLine="0"/>
                  <w:jc w:val="left"/>
                  <w:rPr>
                    <w:rFonts w:ascii="Times New Roman"/>
                    <w:sz w:val="14"/>
                  </w:rPr>
                </w:pPr>
                <w:r>
                  <w:rPr/>
                  <w:fldChar w:fldCharType="begin"/>
                </w:r>
                <w:r>
                  <w:rPr>
                    <w:rFonts w:ascii="Times New Roman"/>
                    <w:sz w:val="14"/>
                  </w:rPr>
                  <w:instrText> PAGE </w:instrText>
                </w:r>
                <w:r>
                  <w:rPr/>
                  <w:fldChar w:fldCharType="separate"/>
                </w:r>
                <w:r>
                  <w:rPr/>
                  <w:t>2066</w:t>
                </w:r>
                <w:r>
                  <w:rPr/>
                  <w:fldChar w:fldCharType="end"/>
                </w:r>
              </w:p>
            </w:txbxContent>
          </v:textbox>
          <w10:wrap type="none"/>
        </v:shape>
      </w:pict>
    </w:r>
    <w:r>
      <w:rPr/>
      <w:pict>
        <v:shape style="position:absolute;margin-left:303.440002pt;margin-top:34.717342pt;width:176.95pt;height:8.950pt;mso-position-horizontal-relative:page;mso-position-vertical-relative:page;z-index:-251969536" type="#_x0000_t202" filled="false" stroked="false">
          <v:textbox inset="0,0,0,0">
            <w:txbxContent>
              <w:p>
                <w:pPr>
                  <w:spacing w:line="179" w:lineRule="exact" w:before="0"/>
                  <w:ind w:left="20" w:right="0" w:firstLine="0"/>
                  <w:jc w:val="left"/>
                  <w:rPr>
                    <w:sz w:val="14"/>
                  </w:rPr>
                </w:pPr>
                <w:r>
                  <w:rPr>
                    <w:sz w:val="14"/>
                  </w:rPr>
                  <w:t>IEEE固态电路杂志，第二卷。 39，不。 11，2004年11月</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8" w:hanging="288"/>
        <w:jc w:val="right"/>
      </w:pPr>
      <w:rPr>
        <w:rFonts w:hint="default" w:ascii="Times New Roman" w:hAnsi="Times New Roman" w:eastAsia="Times New Roman" w:cs="Times New Roman"/>
        <w:spacing w:val="-1"/>
        <w:w w:val="96"/>
        <w:sz w:val="16"/>
        <w:szCs w:val="16"/>
        <w:lang w:val="zh-CN" w:eastAsia="zh-CN" w:bidi="zh-CN"/>
      </w:rPr>
    </w:lvl>
    <w:lvl w:ilvl="1">
      <w:start w:val="0"/>
      <w:numFmt w:val="bullet"/>
      <w:lvlText w:val="•"/>
      <w:lvlJc w:val="left"/>
      <w:pPr>
        <w:ind w:left="922" w:hanging="288"/>
      </w:pPr>
      <w:rPr>
        <w:rFonts w:hint="default"/>
        <w:lang w:val="zh-CN" w:eastAsia="zh-CN" w:bidi="zh-CN"/>
      </w:rPr>
    </w:lvl>
    <w:lvl w:ilvl="2">
      <w:start w:val="0"/>
      <w:numFmt w:val="bullet"/>
      <w:lvlText w:val="•"/>
      <w:lvlJc w:val="left"/>
      <w:pPr>
        <w:ind w:left="1424" w:hanging="288"/>
      </w:pPr>
      <w:rPr>
        <w:rFonts w:hint="default"/>
        <w:lang w:val="zh-CN" w:eastAsia="zh-CN" w:bidi="zh-CN"/>
      </w:rPr>
    </w:lvl>
    <w:lvl w:ilvl="3">
      <w:start w:val="0"/>
      <w:numFmt w:val="bullet"/>
      <w:lvlText w:val="•"/>
      <w:lvlJc w:val="left"/>
      <w:pPr>
        <w:ind w:left="1926" w:hanging="288"/>
      </w:pPr>
      <w:rPr>
        <w:rFonts w:hint="default"/>
        <w:lang w:val="zh-CN" w:eastAsia="zh-CN" w:bidi="zh-CN"/>
      </w:rPr>
    </w:lvl>
    <w:lvl w:ilvl="4">
      <w:start w:val="0"/>
      <w:numFmt w:val="bullet"/>
      <w:lvlText w:val="•"/>
      <w:lvlJc w:val="left"/>
      <w:pPr>
        <w:ind w:left="2429" w:hanging="288"/>
      </w:pPr>
      <w:rPr>
        <w:rFonts w:hint="default"/>
        <w:lang w:val="zh-CN" w:eastAsia="zh-CN" w:bidi="zh-CN"/>
      </w:rPr>
    </w:lvl>
    <w:lvl w:ilvl="5">
      <w:start w:val="0"/>
      <w:numFmt w:val="bullet"/>
      <w:lvlText w:val="•"/>
      <w:lvlJc w:val="left"/>
      <w:pPr>
        <w:ind w:left="2931" w:hanging="288"/>
      </w:pPr>
      <w:rPr>
        <w:rFonts w:hint="default"/>
        <w:lang w:val="zh-CN" w:eastAsia="zh-CN" w:bidi="zh-CN"/>
      </w:rPr>
    </w:lvl>
    <w:lvl w:ilvl="6">
      <w:start w:val="0"/>
      <w:numFmt w:val="bullet"/>
      <w:lvlText w:val="•"/>
      <w:lvlJc w:val="left"/>
      <w:pPr>
        <w:ind w:left="3433" w:hanging="288"/>
      </w:pPr>
      <w:rPr>
        <w:rFonts w:hint="default"/>
        <w:lang w:val="zh-CN" w:eastAsia="zh-CN" w:bidi="zh-CN"/>
      </w:rPr>
    </w:lvl>
    <w:lvl w:ilvl="7">
      <w:start w:val="0"/>
      <w:numFmt w:val="bullet"/>
      <w:lvlText w:val="•"/>
      <w:lvlJc w:val="left"/>
      <w:pPr>
        <w:ind w:left="3935" w:hanging="288"/>
      </w:pPr>
      <w:rPr>
        <w:rFonts w:hint="default"/>
        <w:lang w:val="zh-CN" w:eastAsia="zh-CN" w:bidi="zh-CN"/>
      </w:rPr>
    </w:lvl>
    <w:lvl w:ilvl="8">
      <w:start w:val="0"/>
      <w:numFmt w:val="bullet"/>
      <w:lvlText w:val="•"/>
      <w:lvlJc w:val="left"/>
      <w:pPr>
        <w:ind w:left="4438" w:hanging="288"/>
      </w:pPr>
      <w:rPr>
        <w:rFonts w:hint="default"/>
        <w:lang w:val="zh-CN" w:eastAsia="zh-CN" w:bidi="zh-CN"/>
      </w:rPr>
    </w:lvl>
  </w:abstractNum>
  <w:abstractNum w:abstractNumId="0">
    <w:multiLevelType w:val="hybridMultilevel"/>
    <w:lvl w:ilvl="0">
      <w:start w:val="1"/>
      <w:numFmt w:val="upperRoman"/>
      <w:lvlText w:val="%1."/>
      <w:lvlJc w:val="left"/>
      <w:pPr>
        <w:ind w:left="2114" w:hanging="216"/>
        <w:jc w:val="right"/>
      </w:pPr>
      <w:rPr>
        <w:rFonts w:hint="default" w:ascii="Times New Roman" w:hAnsi="Times New Roman" w:eastAsia="Times New Roman" w:cs="Times New Roman"/>
        <w:w w:val="85"/>
        <w:sz w:val="20"/>
        <w:szCs w:val="20"/>
        <w:lang w:val="zh-CN" w:eastAsia="zh-CN" w:bidi="zh-CN"/>
      </w:rPr>
    </w:lvl>
    <w:lvl w:ilvl="1">
      <w:start w:val="0"/>
      <w:numFmt w:val="bullet"/>
      <w:lvlText w:val="•"/>
      <w:lvlJc w:val="left"/>
      <w:pPr>
        <w:ind w:left="2430" w:hanging="216"/>
      </w:pPr>
      <w:rPr>
        <w:rFonts w:hint="default"/>
        <w:lang w:val="zh-CN" w:eastAsia="zh-CN" w:bidi="zh-CN"/>
      </w:rPr>
    </w:lvl>
    <w:lvl w:ilvl="2">
      <w:start w:val="0"/>
      <w:numFmt w:val="bullet"/>
      <w:lvlText w:val="•"/>
      <w:lvlJc w:val="left"/>
      <w:pPr>
        <w:ind w:left="2741" w:hanging="216"/>
      </w:pPr>
      <w:rPr>
        <w:rFonts w:hint="default"/>
        <w:lang w:val="zh-CN" w:eastAsia="zh-CN" w:bidi="zh-CN"/>
      </w:rPr>
    </w:lvl>
    <w:lvl w:ilvl="3">
      <w:start w:val="0"/>
      <w:numFmt w:val="bullet"/>
      <w:lvlText w:val="•"/>
      <w:lvlJc w:val="left"/>
      <w:pPr>
        <w:ind w:left="3051" w:hanging="216"/>
      </w:pPr>
      <w:rPr>
        <w:rFonts w:hint="default"/>
        <w:lang w:val="zh-CN" w:eastAsia="zh-CN" w:bidi="zh-CN"/>
      </w:rPr>
    </w:lvl>
    <w:lvl w:ilvl="4">
      <w:start w:val="0"/>
      <w:numFmt w:val="bullet"/>
      <w:lvlText w:val="•"/>
      <w:lvlJc w:val="left"/>
      <w:pPr>
        <w:ind w:left="3362" w:hanging="216"/>
      </w:pPr>
      <w:rPr>
        <w:rFonts w:hint="default"/>
        <w:lang w:val="zh-CN" w:eastAsia="zh-CN" w:bidi="zh-CN"/>
      </w:rPr>
    </w:lvl>
    <w:lvl w:ilvl="5">
      <w:start w:val="0"/>
      <w:numFmt w:val="bullet"/>
      <w:lvlText w:val="•"/>
      <w:lvlJc w:val="left"/>
      <w:pPr>
        <w:ind w:left="3672" w:hanging="216"/>
      </w:pPr>
      <w:rPr>
        <w:rFonts w:hint="default"/>
        <w:lang w:val="zh-CN" w:eastAsia="zh-CN" w:bidi="zh-CN"/>
      </w:rPr>
    </w:lvl>
    <w:lvl w:ilvl="6">
      <w:start w:val="0"/>
      <w:numFmt w:val="bullet"/>
      <w:lvlText w:val="•"/>
      <w:lvlJc w:val="left"/>
      <w:pPr>
        <w:ind w:left="3983" w:hanging="216"/>
      </w:pPr>
      <w:rPr>
        <w:rFonts w:hint="default"/>
        <w:lang w:val="zh-CN" w:eastAsia="zh-CN" w:bidi="zh-CN"/>
      </w:rPr>
    </w:lvl>
    <w:lvl w:ilvl="7">
      <w:start w:val="0"/>
      <w:numFmt w:val="bullet"/>
      <w:lvlText w:val="•"/>
      <w:lvlJc w:val="left"/>
      <w:pPr>
        <w:ind w:left="4294" w:hanging="216"/>
      </w:pPr>
      <w:rPr>
        <w:rFonts w:hint="default"/>
        <w:lang w:val="zh-CN" w:eastAsia="zh-CN" w:bidi="zh-CN"/>
      </w:rPr>
    </w:lvl>
    <w:lvl w:ilvl="8">
      <w:start w:val="0"/>
      <w:numFmt w:val="bullet"/>
      <w:lvlText w:val="•"/>
      <w:lvlJc w:val="left"/>
      <w:pPr>
        <w:ind w:left="4604" w:hanging="216"/>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0"/>
      <w:szCs w:val="20"/>
      <w:lang w:val="zh-CN" w:eastAsia="zh-CN" w:bidi="zh-CN"/>
    </w:rPr>
  </w:style>
  <w:style w:styleId="ListParagraph" w:type="paragraph">
    <w:name w:val="List Paragraph"/>
    <w:basedOn w:val="Normal"/>
    <w:uiPriority w:val="1"/>
    <w:qFormat/>
    <w:pPr>
      <w:ind w:left="673" w:right="221" w:hanging="286"/>
      <w:jc w:val="both"/>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15.png"/><Relationship Id="rId32" Type="http://schemas.openxmlformats.org/officeDocument/2006/relationships/image" Target="media/image22.jpe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 Reynolds</dc:creator>
  <dc:subject>IEEE Journal of Solid-State Circuits;2004;39;11;10.1109/JSSC.2004.835838</dc:subject>
  <dc:title>A 60-GHz superheterodyne downconversion mixer in silicon-germanium bipolar technology</dc:title>
  <dcterms:created xsi:type="dcterms:W3CDTF">2020-12-13T17:25:01Z</dcterms:created>
  <dcterms:modified xsi:type="dcterms:W3CDTF">2020-12-13T17:25:01Z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WPS Office</vt:lpwstr>
  </property>
  <property fmtid="{D5CDD505-2E9C-101B-9397-08002B2CF9AE}" pid="4" name="LastSaved">
    <vt:filetime>2020-12-13T00:00:00Z</vt:filetime>
  </property>
</Properties>
</file>