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LYMX NETWORK</w:t>
      </w:r>
    </w:p>
    <w:p>
      <w:pPr>
        <w:jc w:val="center"/>
      </w:pPr>
      <w:r>
        <w:rPr>
          <w:color w:val="555555"/>
          <w:sz w:val="26"/>
          <w:szCs w:val="26"/>
        </w:rPr>
        <w:t xml:space="preserve">Legal Structure Inquiry — For Attorney Review</w:t>
      </w:r>
    </w:p>
    <w:p>
      <w:r>
        <w:t xml:space="preserve"/>
      </w:r>
    </w:p>
    <w:p>
      <w:pPr>
        <w:jc w:val="center"/>
      </w:pPr>
      <w:r>
        <w:rPr>
          <w:color w:val="777777"/>
          <w:sz w:val="22"/>
          <w:szCs w:val="22"/>
        </w:rPr>
        <w:t xml:space="preserve">Prepared April 28, 2026 — Kenny Lin, Founder</w:t>
      </w:r>
    </w:p>
    <w:p>
      <w:r>
        <w:t xml:space="preserve"/>
      </w:r>
    </w:p>
    <w:p>
      <w:r>
        <w:t xml:space="preserve"/>
      </w:r>
    </w:p>
    <w:p>
      <w:pPr>
        <w:pStyle w:val="Heading1"/>
      </w:pPr>
      <w:r>
        <w:t xml:space="preserve">1. Purpose of this inquiry</w:t>
      </w:r>
    </w:p>
    <w:p>
      <w:r>
        <w:t xml:space="preserve">LYMX Network (operating as “LYMX”) is a multi-business loyalty network in the planning and prototype stage. Before operating launch, we want to validate the legal structure of our promotional credit unit (the “LYMX unit”) and the mechanics by which it is sold to participating businesses, accepted from customers, and bought back. The structure has been deliberately designed to avoid characterization as a money transmission service, escrow agent, or stored-value issuer. We are seeking confirmation, refinement, or correction from counsel before we begin live transactions.</w:t>
      </w:r>
    </w:p>
    <w:p>
      <w:r>
        <w:t xml:space="preserve"/>
      </w:r>
    </w:p>
    <w:p>
      <w:pPr>
        <w:pStyle w:val="Heading1"/>
      </w:pPr>
      <w:r>
        <w:t xml:space="preserve">2. Business model overview</w:t>
      </w:r>
    </w:p>
    <w:p>
      <w:r>
        <w:t xml:space="preserve">LYMX is a shared loyalty network for independent local businesses (each a “Business”). Customers earn LYMX units when shopping at any participating Business and may spend those units at any other participating Business in the network. The intent is to deliver the benefits of a national rewards program (broad acceptance, retention) while keeping each individual member business small, independent, and locally owned. (Note on terminology: in our system the term “Partner” refers to an independent contractor who recruits Businesses to the network — see section 6. Businesses themselves are simply “Businesses.”)</w:t>
      </w:r>
    </w:p>
    <w:p>
      <w:r>
        <w:t xml:space="preserve">The network is being launched as a regional pilot in Las Vegas, Nevada, with twenty-five (25) founding Businesses planned. All transactions occur within Nevada in the pilot phase. Long-term plans include expansion to additional U.S. metros.</w:t>
      </w:r>
    </w:p>
    <w:p>
      <w:r>
        <w:t xml:space="preserve">LYMX itself does not handle, hold, or transmit money on behalf of customers or Businesses. LYMX is the issuer, seller, and buyer-back of its own promotional credit units. The unit is a marketing instrument, not a stored-value or payment instrument.</w:t>
      </w:r>
    </w:p>
    <w:p>
      <w:r>
        <w:t xml:space="preserve"/>
      </w:r>
    </w:p>
    <w:p>
      <w:pPr>
        <w:pStyle w:val="Heading1"/>
      </w:pPr>
      <w:r>
        <w:t xml:space="preserve">3. The LYMX unit and its mechanics</w:t>
      </w:r>
    </w:p>
    <w:p>
      <w:pPr>
        <w:pStyle w:val="Heading2"/>
      </w:pPr>
      <w:r>
        <w:t xml:space="preserve">3.1 The unit</w:t>
      </w:r>
    </w:p>
    <w:p>
      <w:r>
        <w:t xml:space="preserve">Each LYMX unit has a designated face value of one cent (US$0.01) when accepted as payment at a participating Business. The unit is not cash, not cryptocurrency, not a stored monetary balance, and is not redeemable for cash by either customers or Businesses. The unit is solely a promotional credit usable within the LYMX network.</w:t>
      </w:r>
    </w:p>
    <w:p>
      <w:pPr>
        <w:pStyle w:val="Heading2"/>
      </w:pPr>
      <w:r>
        <w:t xml:space="preserve">3.2 Issuance (sale of units to a Business)</w:t>
      </w:r>
    </w:p>
    <w:p>
      <w:r>
        <w:t xml:space="preserve">When a customer makes a qualifying purchase at a Business, that Business issues LYMX units to the customer at a fixed rate per dollar spent (e.g., 5 LYMX units per $1 spent). The Business simultaneously purchases those units from LYMX at a wholesale price equal to eighty percent (80%) of face value: $0.008 per unit.</w:t>
      </w:r>
    </w:p>
    <w:p>
      <w:r>
        <w:t xml:space="preserve">LYMX bills the issuing Business for these unit purchases on a monthly settlement cycle. The issuing Business is the customer of LYMX in this transaction; the consumer who shopped at the Business is not a party to any LYMX transaction at this stage.</w:t>
      </w:r>
    </w:p>
    <w:p>
      <w:pPr>
        <w:pStyle w:val="Heading2"/>
      </w:pPr>
      <w:r>
        <w:t xml:space="preserve">3.3 Redemption (buy-back of units from a Business)</w:t>
      </w:r>
    </w:p>
    <w:p>
      <w:r>
        <w:t xml:space="preserve">When a customer presents previously-earned LYMX units to a participating Business as payment, the Business accepts those units at face value as payment (not as a discount on the customer’s purchase). The customer pays the full purchase price using LYMX units valued at $0.01 each. The Business simultaneously sells those units back to LYMX at the wholesale price of $0.008 per unit (80% of face value).</w:t>
      </w:r>
    </w:p>
    <w:p>
      <w:r>
        <w:t xml:space="preserve">LYMX credits the redeeming Business for these unit buy-backs on the same monthly settlement cycle. The 20% gap between the unit’s face value ($0.01) and LYMX’s buy-back price ($0.008) is absorbed by the redeeming Business as the effective discount they offer to a customer the network referred to them. This is the Business’s effective customer-acquisition cost.</w:t>
      </w:r>
    </w:p>
    <w:p>
      <w:pPr>
        <w:pStyle w:val="Heading2"/>
      </w:pPr>
      <w:r>
        <w:t xml:space="preserve">3.4 Customer-side mechanics</w:t>
      </w:r>
    </w:p>
    <w:p>
      <w:r>
        <w:t xml:space="preserve">Customers earn and spend LYMX units only at participating Businesses. Customers may not redeem LYMX units for cash, ACH, gift card, money order, cryptocurrency, or any other monetary instrument from any party, including LYMX itself. The customer’s LYMX balance is purely an internal tracking record reflecting promotional credit available within the network. There is no contractual obligation for LYMX or any Business to convert a customer’s LYMX balance to monetary value. LYMX never buys units back from customers; LYMX only buys units back from Businesses.</w:t>
      </w:r>
    </w:p>
    <w:p>
      <w:pPr>
        <w:pStyle w:val="Heading2"/>
      </w:pPr>
      <w:r>
        <w:t xml:space="preserve">3.5 Settlement</w:t>
      </w:r>
    </w:p>
    <w:p>
      <w:r>
        <w:t xml:space="preserve">Monthly, each Business receives a settlement statement showing: (a) total units they purchased from LYMX during the period; (b) total units LYMX bought back from them during the period; and (c) the net amount owed in either direction. If purchases exceed buy-backs, the Business pays LYMX the difference. If buy-backs exceed purchases, LYMX pays the Business. Settlement is the ordinary course of two-party accounts payable / receivable between LYMX and the Business; no third-party (customer) money is held, transferred, or held in trust at any point.</w:t>
      </w:r>
    </w:p>
    <w:p>
      <w:r>
        <w:t xml:space="preserve"/>
      </w:r>
    </w:p>
    <w:p>
      <w:pPr>
        <w:pStyle w:val="Heading1"/>
      </w:pPr>
      <w:r>
        <w:t xml:space="preserve">4. Locked issuance rate and promotional flexibility</w:t>
      </w:r>
    </w:p>
    <w:p>
      <w:r>
        <w:t xml:space="preserve">The LYMX-per-dollar issuance rate (e.g., 5 LYMX per $1 spent) is set by the LYMX platform at the time of Business activation and cannot be unilaterally changed by the Business mid-contract. This control is necessary to prevent gaming of the system.</w:t>
      </w:r>
    </w:p>
    <w:p>
      <w:r>
        <w:t xml:space="preserve">Within the locked base rate, Businesses may run platform-approved promotional campaigns of limited scope and duration:</w:t>
      </w:r>
    </w:p>
    <w:p>
      <w:pPr>
        <w:pStyle w:val="ListParagraph"/>
        <w:numPr>
          <w:ilvl w:val="0"/>
          <w:numId w:val="2"/>
        </w:numPr>
      </w:pPr>
      <w:r>
        <w:t xml:space="preserve">Time-bound rate multipliers (e.g., “double LYMX during happy hour, 3–6pm”)</w:t>
      </w:r>
    </w:p>
    <w:p>
      <w:pPr>
        <w:pStyle w:val="ListParagraph"/>
        <w:numPr>
          <w:ilvl w:val="0"/>
          <w:numId w:val="2"/>
        </w:numPr>
      </w:pPr>
      <w:r>
        <w:t xml:space="preserve">Item-specific rate multipliers (e.g., “triple LYMX on cold brew this week”)</w:t>
      </w:r>
    </w:p>
    <w:p>
      <w:pPr>
        <w:pStyle w:val="ListParagraph"/>
        <w:numPr>
          <w:ilvl w:val="0"/>
          <w:numId w:val="2"/>
        </w:numPr>
      </w:pPr>
      <w:r>
        <w:t xml:space="preserve">First-time customer bonuses (e.g., “5x LYMX on your first visit”)</w:t>
      </w:r>
    </w:p>
    <w:p>
      <w:r>
        <w:t xml:space="preserve">Promotions have explicit start and end conditions and are reflected in the Business’s monthly purchase volume from LYMX (more units issued = more units purchased).</w:t>
      </w:r>
    </w:p>
    <w:p>
      <w:r>
        <w:t xml:space="preserve">LYMX itself may also issue platform-funded promotional units — sign-up welcome bonuses for new customers, activation kits for new Businesses, and Partner sign-up incentives. These platform-issued promotional units, when redeemed at a Business, are bought back from that Business at the standard 80% rate; LYMX absorbs the cost as marketing spend.</w:t>
      </w:r>
    </w:p>
    <w:p>
      <w:r>
        <w:t xml:space="preserve"/>
      </w:r>
    </w:p>
    <w:p>
      <w:pPr>
        <w:pStyle w:val="Heading1"/>
      </w:pPr>
      <w:r>
        <w:t xml:space="preserve">5. Open structural question — transaction-level processing fee</w:t>
      </w:r>
    </w:p>
    <w:p>
      <w:r>
        <w:t xml:space="preserve">Because LYMX sells units at $0.008 and buys them back at $0.008, the buy-and-sell mechanic alone produces zero net revenue per matched unit (revenue arises only from breakage on never-redeemed units, plus the timing difference on outstanding units). LYMX’s ongoing revenue per Business comes principally from the monthly subscription ($199 per Business per month, after a 3-month introductory window covered by the $850 sign-up fee).</w:t>
      </w:r>
    </w:p>
    <w:p>
      <w:r>
        <w:t xml:space="preserve">To monetize transaction volume itself, we wish to add a processing fee on top of the unit purchase. We are inclined to denominate this fee in LYMX units (rather than cash), so the fee accrues to LYMX in the same instrument the network uses, and so any fee on a Business is collected as part of the same monthly settlement. We have not yet committed to a structure and would value counsel’s recommendation. Possible designs we are considering:</w:t>
      </w:r>
    </w:p>
    <w:p>
      <w:pPr>
        <w:pStyle w:val="ListParagraph"/>
        <w:numPr>
          <w:ilvl w:val="0"/>
          <w:numId w:val="2"/>
        </w:numPr>
      </w:pPr>
      <w:r>
        <w:t xml:space="preserve">Flat per-transaction fee, denominated in LYMX (e.g., 10 LYMX per issuance event, deducted from the issuing Business at settlement)</w:t>
      </w:r>
    </w:p>
    <w:p>
      <w:pPr>
        <w:pStyle w:val="ListParagraph"/>
        <w:numPr>
          <w:ilvl w:val="0"/>
          <w:numId w:val="2"/>
        </w:numPr>
      </w:pPr>
      <w:r>
        <w:t xml:space="preserve">Volume-based fee, denominated in LYMX (e.g., 3% of unit-purchase total per cycle, also collected as LYMX)</w:t>
      </w:r>
    </w:p>
    <w:p>
      <w:pPr>
        <w:pStyle w:val="ListParagraph"/>
        <w:numPr>
          <w:ilvl w:val="0"/>
          <w:numId w:val="2"/>
        </w:numPr>
      </w:pPr>
      <w:r>
        <w:t xml:space="preserve">A tiered subscription that bundles a transaction allowance (overages billed in cash)</w:t>
      </w:r>
    </w:p>
    <w:p>
      <w:pPr>
        <w:pStyle w:val="ListParagraph"/>
        <w:numPr>
          <w:ilvl w:val="0"/>
          <w:numId w:val="2"/>
        </w:numPr>
      </w:pPr>
      <w:r>
        <w:t xml:space="preserve">A hybrid (e.g., flat per-issuance LYMX fee plus a small per-buy-back LYMX fee)</w:t>
      </w:r>
    </w:p>
    <w:p>
      <w:r>
        <w:t xml:space="preserve">Our concern is whether any of these structures, in combination with the buy/sell mechanic, would risk reclassification of LYMX as a payment processor, money services business, or money transmitter. We would prefer the structure that monetizes transaction volume while remaining clearly outside money-transmission regulation under federal (FinCEN) and Nevada (NRS Chapter 671 / Nevada Financial Institutions Division) frameworks. Specifically: does denominating the processing fee in LYMX units (rather than US dollars) help or hurt that classification analysis?</w:t>
      </w:r>
    </w:p>
    <w:p>
      <w:r>
        <w:t xml:space="preserve"/>
      </w:r>
    </w:p>
    <w:p>
      <w:pPr>
        <w:pStyle w:val="Heading1"/>
      </w:pPr>
      <w:r>
        <w:t xml:space="preserve">6. Partner referral compensation (Multi-Generation Compensation)</w:t>
      </w:r>
    </w:p>
    <w:p>
      <w:r>
        <w:t xml:space="preserve">LYMX engages independent contractors (the “Partners”) to recruit Businesses to the network. Partners are compensated on a multi-tier referral basis we call “Multi-Generation Compensation” (MGC):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CCCCCC" w:sz="1"/>
              <w:left w:val="single" w:color="CCCCCC" w:sz="1"/>
              <w:bottom w:val="single" w:color="CCCCCC" w:sz="1"/>
              <w:right w:val="single" w:color="CCCCCC" w:sz="1"/>
            </w:tcBorders>
            <w:shd w:fill="F0F2F5" w:val="clear"/>
            <w:tcMar>
              <w:top w:type="dxa" w:w="100"/>
              <w:left w:type="dxa" w:w="140"/>
              <w:bottom w:type="dxa" w:w="100"/>
              <w:right w:type="dxa" w:w="140"/>
            </w:tcMar>
          </w:tcPr>
          <w:p>
            <w:r>
              <w:rPr>
                <w:b/>
                <w:bCs/>
              </w:rPr>
              <w:t xml:space="preserve">Tier</w:t>
            </w:r>
          </w:p>
        </w:tc>
        <w:tc>
          <w:tcPr>
            <w:tcW w:type="dxa" w:w="2400"/>
            <w:tcBorders>
              <w:top w:val="single" w:color="CCCCCC" w:sz="1"/>
              <w:left w:val="single" w:color="CCCCCC" w:sz="1"/>
              <w:bottom w:val="single" w:color="CCCCCC" w:sz="1"/>
              <w:right w:val="single" w:color="CCCCCC" w:sz="1"/>
            </w:tcBorders>
            <w:shd w:fill="F0F2F5" w:val="clear"/>
            <w:tcMar>
              <w:top w:type="dxa" w:w="100"/>
              <w:left w:type="dxa" w:w="140"/>
              <w:bottom w:type="dxa" w:w="100"/>
              <w:right w:type="dxa" w:w="140"/>
            </w:tcMar>
          </w:tcPr>
          <w:p>
            <w:r>
              <w:rPr>
                <w:b/>
                <w:bCs/>
              </w:rPr>
              <w:t xml:space="preserve">Relationship</w:t>
            </w:r>
          </w:p>
        </w:tc>
        <w:tc>
          <w:tcPr>
            <w:tcW w:type="dxa" w:w="2280"/>
            <w:tcBorders>
              <w:top w:val="single" w:color="CCCCCC" w:sz="1"/>
              <w:left w:val="single" w:color="CCCCCC" w:sz="1"/>
              <w:bottom w:val="single" w:color="CCCCCC" w:sz="1"/>
              <w:right w:val="single" w:color="CCCCCC" w:sz="1"/>
            </w:tcBorders>
            <w:shd w:fill="F0F2F5" w:val="clear"/>
            <w:tcMar>
              <w:top w:type="dxa" w:w="100"/>
              <w:left w:type="dxa" w:w="140"/>
              <w:bottom w:type="dxa" w:w="100"/>
              <w:right w:type="dxa" w:w="140"/>
            </w:tcMar>
          </w:tcPr>
          <w:p>
            <w:r>
              <w:rPr>
                <w:b/>
                <w:bCs/>
              </w:rPr>
              <w:t xml:space="preserve">Cash %</w:t>
            </w:r>
          </w:p>
        </w:tc>
        <w:tc>
          <w:tcPr>
            <w:tcW w:type="dxa" w:w="2280"/>
            <w:tcBorders>
              <w:top w:val="single" w:color="CCCCCC" w:sz="1"/>
              <w:left w:val="single" w:color="CCCCCC" w:sz="1"/>
              <w:bottom w:val="single" w:color="CCCCCC" w:sz="1"/>
              <w:right w:val="single" w:color="CCCCCC" w:sz="1"/>
            </w:tcBorders>
            <w:shd w:fill="F0F2F5" w:val="clear"/>
            <w:tcMar>
              <w:top w:type="dxa" w:w="100"/>
              <w:left w:type="dxa" w:w="140"/>
              <w:bottom w:type="dxa" w:w="100"/>
              <w:right w:type="dxa" w:w="140"/>
            </w:tcMar>
          </w:tcPr>
          <w:p>
            <w:r>
              <w:rPr>
                <w:b/>
                <w:bCs/>
              </w:rPr>
              <w:t xml:space="preserve">LYMX %</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Direct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Businesses Partner personally recruits</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9% of monthly subscription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9% of LYMX unit-sale revenue from Business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Generation 1</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Businesses recruited by Partners the Partner recruited</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3% of monthly subscription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3% of unit-sale revenue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Generation 2</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Businesses recruited by Partners 2 levels deep</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2% of monthly subscription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2% of unit-sale revenue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Generation 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Businesses recruited by Partners 3 levels deep</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1% of monthly subscription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1% of unit-sale revenue</w:t>
            </w:r>
          </w:p>
        </w:tc>
      </w:tr>
    </w:tbl>
    <w:p>
      <w:r>
        <w:t xml:space="preserve"/>
      </w:r>
    </w:p>
    <w:p>
      <w:r>
        <w:t xml:space="preserve">Plus a one-time $500 cash sign-up bonus per direct activation, paid in two halves (50% at day 7 of activation, 50% at day 30, contingent on the Business remaining active).</w:t>
      </w:r>
    </w:p>
    <w:p>
      <w:r>
        <w:t xml:space="preserve">Cash compensation is paid via ACH. LYMX-denominated compensation is credited to the Partner’s LYMX balance and is spendable only at Partner Businesses in the network — it is not convertible to cash and not transferrable outside the network.</w:t>
      </w:r>
    </w:p>
    <w:p>
      <w:r>
        <w:t xml:space="preserve">Partners earn ONLY on first-tier sponsorship of Businesses, plus three generations of Partners they have recruited. There is no requirement that any Partner make a personal purchase as a condition of compensation. Compensation is solely on bona fide third-party Business sales of LYMX subscriptions and units.</w:t>
      </w:r>
    </w:p>
    <w:p>
      <w:r>
        <w:t xml:space="preserve"/>
      </w:r>
    </w:p>
    <w:p>
      <w:pPr>
        <w:pStyle w:val="Heading1"/>
      </w:pPr>
      <w:r>
        <w:t xml:space="preserve">7. Specific questions for legal counsel</w:t>
      </w:r>
    </w:p>
    <w:p>
      <w:r/>
    </w:p>
    <w:p>
      <w:r>
        <w:rPr>
          <w:b/>
          <w:bCs/>
        </w:rPr>
        <w:t xml:space="preserve">A. Money-transmitter classification.</w:t>
      </w:r>
    </w:p>
    <w:p>
      <w:r>
        <w:t xml:space="preserve">Does the buy/sell mechanic described in section 3, combined with the customer-side restriction described in section 3.4 (no customer cash-out), keep LYMX outside the federal definition of “money transmission” under 31 CFR 1010.100(ff)(5) and outside the Nevada Money Transmission Act (NRS Chapter 671), and outside the licensing jurisdiction of the Nevada Financial Institutions Division?</w:t>
      </w:r>
    </w:p>
    <w:p>
      <w:r/>
    </w:p>
    <w:p>
      <w:r>
        <w:rPr>
          <w:b/>
          <w:bCs/>
        </w:rPr>
        <w:t xml:space="preserve">B. Stored-value / prepaid laws.</w:t>
      </w:r>
    </w:p>
    <w:p>
      <w:r>
        <w:t xml:space="preserve">LYMX units function similarly to a closed-loop merchant rewards program. Do Nevada gift-certificate provisions (NRS 598B) or the Nevada Uniform Unclaimed Property Act (NRS Chapter 120A) apply, given that the unit has a face value of $0.01 and is redeemable as a discount at any of multiple participating businesses (a multi-merchant closed-loop network)?</w:t>
      </w:r>
    </w:p>
    <w:p>
      <w:r/>
    </w:p>
    <w:p>
      <w:r>
        <w:rPr>
          <w:b/>
          <w:bCs/>
        </w:rPr>
        <w:t xml:space="preserve">C. Escrow / trust law.</w:t>
      </w:r>
    </w:p>
    <w:p>
      <w:r>
        <w:t xml:space="preserve">Is the buy/sell framing legally distinct from a traditional escrow arrangement? Specifically, when a Business has issued more units than it has redeemed and owes LYMX a net amount on settlement, are we (LYMX) holding any “other person’s money” in any sense that would trigger escrow regulation, trust accounting, or fiduciary duty?</w:t>
      </w:r>
    </w:p>
    <w:p>
      <w:r/>
    </w:p>
    <w:p>
      <w:r>
        <w:rPr>
          <w:b/>
          <w:bCs/>
        </w:rPr>
        <w:t xml:space="preserve">D. Processing-fee structure.</w:t>
      </w:r>
    </w:p>
    <w:p>
      <w:r>
        <w:t xml:space="preserve">See section 5. Which of the proposed processing-fee structures most cleanly avoids reclassification as a payment processor or money services business? Is there a preferred designation or labeling for the fee that supports this position?</w:t>
      </w:r>
    </w:p>
    <w:p>
      <w:r/>
    </w:p>
    <w:p>
      <w:r>
        <w:rPr>
          <w:b/>
          <w:bCs/>
        </w:rPr>
        <w:t xml:space="preserve">E. Partner compensation under FTC “business-opportunity” and Nevada MLM frameworks.</w:t>
      </w:r>
    </w:p>
    <w:p>
      <w:r>
        <w:t xml:space="preserve">The four-tier Partner compensation structure described in section 6 pays on bona fide third-party sales (Business subscriptions and unit purchases) and does not require personal purchases by Partners. Does this structure adequately distinguish LYMX from a pyramid scheme under (a) the FTC Act, (b) Nevada’s pyramid-scheme statute (NRS 207.235), and (c) the Nevada Deceptive Trade Practices Act (NRS 598)? What disclosures, registrations, or filings should we plan for in Nevada?</w:t>
      </w:r>
    </w:p>
    <w:p>
      <w:r/>
    </w:p>
    <w:p>
      <w:r>
        <w:rPr>
          <w:b/>
          <w:bCs/>
        </w:rPr>
        <w:t xml:space="preserve">F. Tax treatment of LYMX-denominated Partner compensation.</w:t>
      </w:r>
    </w:p>
    <w:p>
      <w:r>
        <w:t xml:space="preserve">LYMX-denominated Partner compensation is spendable only within the network and is not cash-convertible. What is the appropriate tax treatment at the time of credit, at the time of redemption, and on Form 1099 reporting? Should LYMX-denominated Partner compensation be treated as taxable income at credit (at the wholesale-purchase price) or only at the time of network redemption?</w:t>
      </w:r>
    </w:p>
    <w:p>
      <w:r/>
    </w:p>
    <w:p>
      <w:r>
        <w:rPr>
          <w:b/>
          <w:bCs/>
        </w:rPr>
        <w:t xml:space="preserve">G. Promotional-LYMX issuance by the platform.</w:t>
      </w:r>
    </w:p>
    <w:p>
      <w:r>
        <w:t xml:space="preserve">LYMX itself plans to issue platform-funded promotional units (customer welcome bonuses, Business activation kits, Partner sign-up bonuses). Do these platform-issued units carry any different regulatory treatment than Business-issued units? Should they be tracked separately for accounting or reporting?</w:t>
      </w:r>
    </w:p>
    <w:p>
      <w:r/>
    </w:p>
    <w:p>
      <w:r>
        <w:rPr>
          <w:b/>
          <w:bCs/>
        </w:rPr>
        <w:t xml:space="preserve">H. Disclosures and customer-facing terms.</w:t>
      </w:r>
    </w:p>
    <w:p>
      <w:r>
        <w:t xml:space="preserve">Please review and revise our proposed customer-facing disclaimer, currently: “LYMX is a promotional credit unit redeemable at participating LYMX Businesses. Not cash, not cryptocurrency, not a stored monetary balance.” Are there additional disclosures, prominence requirements, or terms-of-service provisions we should adopt prior to launch?</w:t>
      </w:r>
    </w:p>
    <w:p>
      <w:r>
        <w:t xml:space="preserve"/>
      </w:r>
    </w:p>
    <w:p>
      <w:pPr>
        <w:pStyle w:val="Heading1"/>
      </w:pPr>
      <w:r>
        <w:t xml:space="preserve">8. Materials available for review</w:t>
      </w:r>
    </w:p>
    <w:p>
      <w:r>
        <w:t xml:space="preserve">Available on request:</w:t>
      </w:r>
    </w:p>
    <w:p>
      <w:pPr>
        <w:pStyle w:val="ListParagraph"/>
        <w:numPr>
          <w:ilvl w:val="0"/>
          <w:numId w:val="2"/>
        </w:numPr>
      </w:pPr>
      <w:r>
        <w:t xml:space="preserve">Live prototype website (https://getlymx.com) showing customer-facing copy, Business pitch, Partner program, monthly settlement statement format, and point-of-sale flow</w:t>
      </w:r>
    </w:p>
    <w:p>
      <w:pPr>
        <w:pStyle w:val="ListParagraph"/>
        <w:numPr>
          <w:ilvl w:val="0"/>
          <w:numId w:val="2"/>
        </w:numPr>
      </w:pPr>
      <w:r>
        <w:t xml:space="preserve">Current draft of Partner agreement (Multi-Generation Compensation rules)</w:t>
      </w:r>
    </w:p>
    <w:p>
      <w:pPr>
        <w:pStyle w:val="ListParagraph"/>
        <w:numPr>
          <w:ilvl w:val="0"/>
          <w:numId w:val="2"/>
        </w:numPr>
      </w:pPr>
      <w:r>
        <w:t xml:space="preserve">Current draft of Business activation agreement</w:t>
      </w:r>
    </w:p>
    <w:p>
      <w:pPr>
        <w:pStyle w:val="ListParagraph"/>
        <w:numPr>
          <w:ilvl w:val="0"/>
          <w:numId w:val="2"/>
        </w:numPr>
      </w:pPr>
      <w:r>
        <w:t xml:space="preserve">Internal economics memo describing unit-cost math, settlement examples, and Partner-tier rules</w:t>
      </w:r>
    </w:p>
    <w:p>
      <w:pPr>
        <w:pStyle w:val="ListParagraph"/>
        <w:numPr>
          <w:ilvl w:val="0"/>
          <w:numId w:val="2"/>
        </w:numPr>
      </w:pPr>
      <w:r>
        <w:t xml:space="preserve">Current customer-facing disclaimer language</w:t>
      </w:r>
    </w:p>
    <w:p>
      <w:r>
        <w:t xml:space="preserve"/>
      </w:r>
    </w:p>
    <w:p>
      <w:pPr>
        <w:pStyle w:val="Heading1"/>
      </w:pPr>
      <w:r>
        <w:t xml:space="preserve">9. Operating stage and timing</w:t>
      </w:r>
    </w:p>
    <w:p>
      <w:r>
        <w:t xml:space="preserve">LYMX is currently a pre-revenue prototype. No live transactions have been processed; no money has been collected from customers, Businesses, or Partners. Pilot launch with twenty-five (25) Las Vegas founding Businesses is targeted for the third quarter of 2026, contingent on completion of legal structuring and any required Nevada registrations or licenses.</w:t>
      </w:r>
    </w:p>
    <w:p>
      <w:r>
        <w:t xml:space="preserve">We would appreciate counsel’s preliminary view on each of the questions in section 7 within four to six weeks, with a recommended path to compliance for the items that require corrective action. We are open to revising the structure as needed.</w:t>
      </w:r>
    </w:p>
    <w:p>
      <w:r>
        <w:t xml:space="preserve"/>
      </w:r>
    </w:p>
    <w:p>
      <w:r>
        <w:t xml:space="preserve"/>
      </w:r>
    </w:p>
    <w:p>
      <w:r>
        <w:rPr>
          <w:i/>
          <w:iCs/>
        </w:rPr>
        <w:t xml:space="preserve">Prepared by: Kenny Lin, Founder</w:t>
      </w:r>
    </w:p>
    <w:p>
      <w:r>
        <w:rPr>
          <w:i/>
          <w:iCs/>
        </w:rPr>
        <w:t xml:space="preserve">LYMX Network</w:t>
      </w:r>
    </w:p>
    <w:p>
      <w:r>
        <w:rPr>
          <w:i/>
          <w:iCs/>
        </w:rPr>
        <w:t xml:space="preserve">zhongkennylin@gmail.com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Prepared April 28, 2026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LYMX Network — Legal Structure Inquiry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65D"/>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LYMX Legal Structure Inquiry</dc:title>
  <dc:creator>LYMX Network</dc:creator>
  <dc:description>Legal inquiry to attorney for review of LYMX network structure</dc:description>
  <cp:lastModifiedBy>Un-named</cp:lastModifiedBy>
  <cp:revision>1</cp:revision>
  <dcterms:created xsi:type="dcterms:W3CDTF">2026-04-28T15:12:07.631Z</dcterms:created>
  <dcterms:modified xsi:type="dcterms:W3CDTF">2026-04-28T15:12:07.641Z</dcterms:modified>
</cp:coreProperties>
</file>

<file path=docProps/custom.xml><?xml version="1.0" encoding="utf-8"?>
<Properties xmlns="http://schemas.openxmlformats.org/officeDocument/2006/custom-properties" xmlns:vt="http://schemas.openxmlformats.org/officeDocument/2006/docPropsVTypes"/>
</file>