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7620" b="571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ascii="黑体" w:eastAsia="黑体"/>
          <w:sz w:val="84"/>
          <w:szCs w:val="84"/>
          <w:lang w:val="en-US" w:eastAsia="zh-CN"/>
        </w:rPr>
        <w:t>作业</w:t>
      </w:r>
    </w:p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2021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 xml:space="preserve">第 </w:t>
      </w:r>
      <w:r>
        <w:rPr>
          <w:rFonts w:hint="eastAsia" w:cs="Tahoma" w:asciiTheme="minorEastAsia" w:hAnsiTheme="minorEastAsia" w:eastAsiaTheme="minorEastAsia"/>
          <w:sz w:val="30"/>
          <w:szCs w:val="30"/>
          <w:lang w:val="en-US" w:eastAsia="zh-CN"/>
        </w:rPr>
        <w:t>二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2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计算机科学与技术20-1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20201210207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刘宇诺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/>
    <w:p/>
    <w:p/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第三章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ab/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软件需求获取与结构化分析方法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课本p67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3.3 在对数据流图进行分解时需要注意哪些问题？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1)</w:t>
      </w:r>
      <w:r>
        <w:rPr>
          <w:rFonts w:hint="eastAsia" w:ascii="宋体" w:hAnsi="宋体" w:eastAsia="宋体" w:cs="宋体"/>
          <w:sz w:val="21"/>
          <w:szCs w:val="21"/>
        </w:rPr>
        <w:t>当对数据流图分层细化时必须保持信息连续性，当把一个处理分解为一系列处理时，分解前和分解后的输入/输出数据流必须相同。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2)</w:t>
      </w:r>
      <w:r>
        <w:rPr>
          <w:rFonts w:hint="eastAsia" w:ascii="宋体" w:hAnsi="宋体" w:eastAsia="宋体" w:cs="宋体"/>
          <w:sz w:val="21"/>
          <w:szCs w:val="21"/>
        </w:rPr>
        <w:t>注意分层细化时对编号的处理方法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3.4 请根据以下描述画出某库存管理系统的数据流图。该系统的数据流描述如下：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(1)根据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计划部门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转来的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收货通知单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和已存在的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物资编码文件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，建立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物资采购单流水账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(2)根据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技术部门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物资验收报告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物资采购单流水账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，更新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物资台账文件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(3)对物资台账分类汇总，将结果存储于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物资总账文件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(4)物资出库：物资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使用部门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填写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物资出库单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，包括物资编号、物资名称、物资数量物资使用部分、负责人、经手人。系统根据物资总账文件的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库存情况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判断是否能够出库，如果能够出库，则记录出库单，并更新物资总账文件。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237490</wp:posOffset>
            </wp:positionV>
            <wp:extent cx="4855210" cy="1974850"/>
            <wp:effectExtent l="0" t="0" r="6350" b="6350"/>
            <wp:wrapTopAndBottom/>
            <wp:docPr id="2" name="图片 2" descr="ad2dcf917c366bdaabea8f6566933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d2dcf917c366bdaabea8f65669338a"/>
                    <pic:cNvPicPr>
                      <a:picLocks noChangeAspect="1"/>
                    </pic:cNvPicPr>
                  </pic:nvPicPr>
                  <pic:blipFill>
                    <a:blip r:embed="rId5"/>
                    <a:srcRect b="27691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 6 一家书店计划开发图书管理系统对书店的业务进行管理，以提高管理人员及书店工作人员的工作效率，并方便顾客对图书进行检素。书店管理系统的基本功能需求如下：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(1)采购管理：实现与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供货商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的图书采购、退货及结算管理，提供月统计报表及任意间段的统计报表。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(2)图书信息管理：记录每种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图书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的信息（包括 ISBN 号、书名、作者、出版社、出版日期、单价、版次、印次等）、折扣及库存量，并提供简单的图书查询功能。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(3)销售管理：实现图书销售功能，记录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single"/>
          <w:lang w:val="en-US" w:eastAsia="zh-CN"/>
        </w:rPr>
        <w:t>顾客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购买的图书种类、数量，计算总价，打印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销售小票，并付款。提供日/月统计报表及任意时间段的统计报表。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(4)用户管理：提供用户组（角色）及用户管理功能。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针对上面的需求建立需求分析模型，包括数据流图 （至少画出两层）和ER图。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93345</wp:posOffset>
            </wp:positionV>
            <wp:extent cx="4848860" cy="2727325"/>
            <wp:effectExtent l="0" t="0" r="12700" b="635"/>
            <wp:wrapTopAndBottom/>
            <wp:docPr id="3" name="图片 3" descr="0df4f7cae805758acceb98227e8e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df4f7cae805758acceb98227e8e9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1B144E34"/>
    <w:rsid w:val="05BC7EB0"/>
    <w:rsid w:val="0BCA6BA6"/>
    <w:rsid w:val="0CE43180"/>
    <w:rsid w:val="1B144E34"/>
    <w:rsid w:val="1BCF7844"/>
    <w:rsid w:val="1C6D22B1"/>
    <w:rsid w:val="1F206D99"/>
    <w:rsid w:val="21DF3302"/>
    <w:rsid w:val="23C924F5"/>
    <w:rsid w:val="2610710F"/>
    <w:rsid w:val="27E42B67"/>
    <w:rsid w:val="338009BD"/>
    <w:rsid w:val="3C4A1AC6"/>
    <w:rsid w:val="4F3A3387"/>
    <w:rsid w:val="632D451D"/>
    <w:rsid w:val="693764BC"/>
    <w:rsid w:val="6A2818DB"/>
    <w:rsid w:val="6A611C9F"/>
    <w:rsid w:val="6BAC03A2"/>
    <w:rsid w:val="7F6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723</Words>
  <Characters>783</Characters>
  <Lines>0</Lines>
  <Paragraphs>0</Paragraphs>
  <TotalTime>68</TotalTime>
  <ScaleCrop>false</ScaleCrop>
  <LinksUpToDate>false</LinksUpToDate>
  <CharactersWithSpaces>808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2022-03-21T11:32:00Z</dcterms:created>
  <dc:creator>LYN白子</dc:creator>
  <cp:lastModifiedBy>LYNBZ1018</cp:lastModifiedBy>
  <dcterms:modified xsi:type="dcterms:W3CDTF">2022-05-01T07:25:29Z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616B980F427A4FFDB924E64FB55F6AE2</vt:lpwstr>
  </property>
</Properties>
</file>