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71988441"/>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0" b="952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（__</w:t>
      </w:r>
      <w:r>
        <w:rPr>
          <w:rFonts w:hint="eastAsia" w:cs="Tahoma" w:asciiTheme="minorEastAsia" w:hAnsiTheme="minorEastAsia" w:eastAsiaTheme="minorEastAsia"/>
          <w:sz w:val="30"/>
          <w:szCs w:val="30"/>
          <w:u w:val="single"/>
        </w:rPr>
        <w:t>2021</w:t>
      </w:r>
      <w:r>
        <w:rPr>
          <w:rFonts w:hint="eastAsia" w:cs="Tahoma" w:asciiTheme="minorEastAsia" w:hAnsiTheme="minorEastAsia" w:eastAsiaTheme="minorEastAsia"/>
          <w:sz w:val="30"/>
          <w:szCs w:val="30"/>
        </w:rPr>
        <w:t>____/__</w:t>
      </w:r>
      <w:r>
        <w:rPr>
          <w:rFonts w:hint="eastAsia" w:cs="Tahoma" w:asciiTheme="minorEastAsia" w:hAnsiTheme="minorEastAsia" w:eastAsiaTheme="minorEastAsia"/>
          <w:sz w:val="30"/>
          <w:szCs w:val="30"/>
          <w:u w:val="single"/>
        </w:rPr>
        <w:t>2022</w:t>
      </w:r>
      <w:r>
        <w:rPr>
          <w:rFonts w:hint="eastAsia" w:cs="Tahoma" w:asciiTheme="minorEastAsia" w:hAnsiTheme="minorEastAsia" w:eastAsiaTheme="minorEastAsia"/>
          <w:sz w:val="30"/>
          <w:szCs w:val="30"/>
        </w:rPr>
        <w:t>__学年  第</w:t>
      </w:r>
      <w:r>
        <w:rPr>
          <w:rFonts w:hint="eastAsia" w:cs="Tahoma" w:asciiTheme="minorEastAsia" w:hAnsiTheme="minorEastAsia" w:eastAsiaTheme="minorEastAsia"/>
          <w:sz w:val="30"/>
          <w:szCs w:val="30"/>
          <w:lang w:val="en-US" w:eastAsia="zh-CN"/>
        </w:rPr>
        <w:t xml:space="preserve"> 二 </w:t>
      </w:r>
      <w:r>
        <w:rPr>
          <w:rFonts w:hint="eastAsia" w:cs="Tahoma" w:asciiTheme="minorEastAsia" w:hAnsiTheme="minorEastAsia" w:eastAsiaTheme="minorEastAsia"/>
          <w:sz w:val="30"/>
          <w:szCs w:val="30"/>
        </w:rPr>
        <w:t>学期）</w:t>
      </w:r>
    </w:p>
    <w:p>
      <w:pPr>
        <w:jc w:val="center"/>
        <w:rPr>
          <w:rFonts w:cs="Tahoma" w:asciiTheme="minorEastAsia" w:hAnsiTheme="minorEastAsia" w:eastAsiaTheme="minorEastAsia"/>
          <w:sz w:val="30"/>
          <w:szCs w:val="30"/>
        </w:rPr>
      </w:pPr>
    </w:p>
    <w:p/>
    <w:p>
      <w:pPr>
        <w:jc w:val="center"/>
      </w:pPr>
    </w:p>
    <w:p>
      <w:pPr>
        <w:jc w:val="center"/>
      </w:pPr>
    </w:p>
    <w:p>
      <w:pPr>
        <w:jc w:val="center"/>
      </w:pPr>
    </w:p>
    <w:p>
      <w:pPr>
        <w:jc w:val="center"/>
      </w:pPr>
    </w:p>
    <w:p>
      <w:pPr>
        <w:jc w:val="center"/>
      </w:pPr>
    </w:p>
    <w:p>
      <w:pPr>
        <w:jc w:val="center"/>
      </w:pPr>
    </w:p>
    <w:p>
      <w:pPr>
        <w:jc w:val="center"/>
      </w:pPr>
    </w:p>
    <w:p/>
    <w:p/>
    <w:tbl>
      <w:tblPr>
        <w:tblStyle w:val="8"/>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jc w:val="center"/>
            </w:pPr>
            <w:r>
              <w:rPr>
                <w:rFonts w:hint="eastAsia" w:ascii="Tahoma" w:hAnsi="Tahoma" w:cs="Tahoma"/>
                <w:sz w:val="28"/>
                <w:szCs w:val="28"/>
              </w:rPr>
              <w:t>软件工程实验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jc w:val="cente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cs="Tahoma"/>
                <w:sz w:val="28"/>
                <w:szCs w:val="28"/>
              </w:rPr>
            </w:pPr>
            <w:r>
              <w:rPr>
                <w:rFonts w:ascii="黑体" w:eastAsia="黑体" w:cs="Tahoma"/>
                <w:sz w:val="28"/>
                <w:szCs w:val="28"/>
              </w:rPr>
              <w:t>课 程</w:t>
            </w:r>
            <w:r>
              <w:rPr>
                <w:rFonts w:hint="eastAsia" w:ascii="黑体" w:eastAsia="黑体" w:cs="Tahoma"/>
                <w:sz w:val="28"/>
                <w:szCs w:val="28"/>
              </w:rPr>
              <w:t xml:space="preserve"> 组：</w:t>
            </w:r>
          </w:p>
        </w:tc>
        <w:tc>
          <w:tcPr>
            <w:tcW w:w="3840" w:type="dxa"/>
            <w:tcBorders>
              <w:top w:val="single" w:color="auto" w:sz="4" w:space="0"/>
              <w:bottom w:val="single" w:color="auto" w:sz="4" w:space="0"/>
            </w:tcBorders>
          </w:tcPr>
          <w:p>
            <w:pPr>
              <w:jc w:val="center"/>
              <w:rPr>
                <w:rFonts w:ascii="Tahoma" w:hAnsi="Tahoma" w:cs="Tahoma"/>
                <w:sz w:val="28"/>
                <w:szCs w:val="28"/>
              </w:rPr>
            </w:pPr>
            <w:r>
              <w:rPr>
                <w:rFonts w:hint="eastAsia" w:ascii="Tahoma" w:hAnsi="Tahoma" w:cs="Tahoma"/>
                <w:sz w:val="28"/>
                <w:szCs w:val="28"/>
              </w:rPr>
              <w:t>软件</w:t>
            </w:r>
            <w:r>
              <w:rPr>
                <w:rFonts w:ascii="Tahoma" w:hAnsi="Tahoma" w:cs="Tahoma"/>
                <w:sz w:val="28"/>
                <w:szCs w:val="28"/>
              </w:rPr>
              <w:t>工程</w:t>
            </w:r>
            <w:r>
              <w:rPr>
                <w:rFonts w:hint="eastAsia" w:ascii="Tahoma" w:hAnsi="Tahoma" w:cs="Tahoma"/>
                <w:sz w:val="28"/>
                <w:szCs w:val="28"/>
              </w:rPr>
              <w:t>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jc w:val="center"/>
              <w:rPr>
                <w:rFonts w:hint="default" w:ascii="Tahoma" w:hAnsi="Tahoma" w:eastAsia="宋体" w:cs="Tahoma"/>
                <w:sz w:val="28"/>
                <w:szCs w:val="28"/>
                <w:lang w:val="en-US" w:eastAsia="zh-CN"/>
              </w:rPr>
            </w:pPr>
            <w:r>
              <w:rPr>
                <w:rFonts w:hint="eastAsia" w:ascii="Tahoma" w:hAnsi="Tahoma" w:cs="Tahoma"/>
                <w:sz w:val="28"/>
                <w:szCs w:val="28"/>
                <w:lang w:val="en-US" w:eastAsia="zh-CN"/>
              </w:rPr>
              <w:t>计算机科学与技术20-1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jc w:val="center"/>
              <w:rPr>
                <w:rFonts w:hint="default" w:ascii="Tahoma" w:hAnsi="Tahoma" w:eastAsia="宋体" w:cs="Tahoma"/>
                <w:sz w:val="28"/>
                <w:szCs w:val="28"/>
                <w:lang w:val="en-US" w:eastAsia="zh-CN"/>
              </w:rPr>
            </w:pPr>
            <w:r>
              <w:rPr>
                <w:rFonts w:hint="eastAsia" w:ascii="Tahoma" w:hAnsi="Tahoma" w:cs="Tahoma"/>
                <w:sz w:val="28"/>
                <w:szCs w:val="28"/>
                <w:lang w:val="en-US" w:eastAsia="zh-CN"/>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jc w:val="center"/>
              <w:rPr>
                <w:rFonts w:hint="eastAsia" w:ascii="Tahoma" w:hAnsi="Tahoma" w:eastAsia="宋体" w:cs="Tahoma"/>
                <w:sz w:val="28"/>
                <w:szCs w:val="28"/>
                <w:lang w:val="en-US" w:eastAsia="zh-CN"/>
              </w:rPr>
            </w:pPr>
            <w:bookmarkStart w:id="3" w:name="_GoBack"/>
            <w:bookmarkEnd w:id="3"/>
            <w:r>
              <w:rPr>
                <w:rFonts w:hint="eastAsia" w:ascii="Tahoma" w:hAnsi="Tahoma" w:cs="Tahoma"/>
                <w:sz w:val="28"/>
                <w:szCs w:val="28"/>
                <w:lang w:val="en-US" w:eastAsia="zh-CN"/>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jc w:val="center"/>
              <w:rPr>
                <w:rFonts w:ascii="Tahoma" w:hAnsi="Tahoma" w:cs="Tahoma"/>
                <w:sz w:val="28"/>
                <w:szCs w:val="28"/>
              </w:rPr>
            </w:pPr>
            <w:r>
              <w:rPr>
                <w:rFonts w:ascii="Tahoma" w:hAnsi="Tahoma" w:cs="Tahoma"/>
                <w:sz w:val="28"/>
                <w:szCs w:val="28"/>
              </w:rPr>
              <w:t>郑炅</w:t>
            </w:r>
          </w:p>
        </w:tc>
      </w:tr>
    </w:tbl>
    <w:p>
      <w:pPr>
        <w:widowControl/>
        <w:jc w:val="center"/>
      </w:pPr>
    </w:p>
    <w:p>
      <w:pPr>
        <w:jc w:val="center"/>
      </w:pPr>
    </w:p>
    <w:p/>
    <w:p/>
    <w:p>
      <w:pPr>
        <w:pStyle w:val="2"/>
        <w:ind w:right="67" w:rightChars="32"/>
        <w:jc w:val="center"/>
        <w:rPr>
          <w:rFonts w:ascii="黑体" w:hAnsi="黑体" w:eastAsia="黑体"/>
          <w:lang w:val="en-GB"/>
        </w:rPr>
      </w:pPr>
      <w:r>
        <w:rPr>
          <w:rFonts w:hint="eastAsia"/>
        </w:rPr>
        <w:t xml:space="preserve">实验 2  </w:t>
      </w:r>
      <w:r>
        <w:rPr>
          <w:rFonts w:hint="eastAsia" w:ascii="黑体" w:hAnsi="黑体" w:eastAsia="黑体"/>
          <w:lang w:val="en-GB"/>
        </w:rPr>
        <w:t>软件工程标准化</w:t>
      </w:r>
      <w:bookmarkEnd w:id="0"/>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15"/>
        <w:gridCol w:w="1713"/>
        <w:gridCol w:w="1713"/>
        <w:gridCol w:w="1714"/>
        <w:gridCol w:w="16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5" w:type="dxa"/>
            <w:vAlign w:val="center"/>
          </w:tcPr>
          <w:p>
            <w:pPr>
              <w:jc w:val="center"/>
              <w:rPr>
                <w:kern w:val="0"/>
                <w:sz w:val="20"/>
                <w:lang w:val="en-GB"/>
              </w:rPr>
            </w:pPr>
            <w:r>
              <w:rPr>
                <w:kern w:val="0"/>
                <w:sz w:val="20"/>
                <w:lang w:val="en-GB"/>
              </w:rPr>
              <w:t>班级</w:t>
            </w:r>
          </w:p>
        </w:tc>
        <w:tc>
          <w:tcPr>
            <w:tcW w:w="1713" w:type="dxa"/>
            <w:vAlign w:val="center"/>
          </w:tcPr>
          <w:p>
            <w:pPr>
              <w:jc w:val="center"/>
              <w:rPr>
                <w:kern w:val="0"/>
                <w:sz w:val="20"/>
                <w:lang w:val="en-GB"/>
              </w:rPr>
            </w:pPr>
            <w:r>
              <w:rPr>
                <w:kern w:val="0"/>
                <w:sz w:val="20"/>
                <w:lang w:val="en-GB"/>
              </w:rPr>
              <w:t>序号</w:t>
            </w:r>
          </w:p>
        </w:tc>
        <w:tc>
          <w:tcPr>
            <w:tcW w:w="1713" w:type="dxa"/>
            <w:vAlign w:val="center"/>
          </w:tcPr>
          <w:p>
            <w:pPr>
              <w:jc w:val="center"/>
              <w:rPr>
                <w:kern w:val="0"/>
                <w:sz w:val="20"/>
                <w:lang w:val="en-GB"/>
              </w:rPr>
            </w:pPr>
            <w:r>
              <w:rPr>
                <w:kern w:val="0"/>
                <w:sz w:val="20"/>
                <w:lang w:val="en-GB"/>
              </w:rPr>
              <w:t>学号</w:t>
            </w:r>
          </w:p>
        </w:tc>
        <w:tc>
          <w:tcPr>
            <w:tcW w:w="1714" w:type="dxa"/>
            <w:vAlign w:val="center"/>
          </w:tcPr>
          <w:p>
            <w:pPr>
              <w:jc w:val="center"/>
              <w:rPr>
                <w:kern w:val="0"/>
                <w:sz w:val="20"/>
                <w:lang w:val="en-GB"/>
              </w:rPr>
            </w:pPr>
            <w:r>
              <w:rPr>
                <w:kern w:val="0"/>
                <w:sz w:val="20"/>
                <w:lang w:val="en-GB"/>
              </w:rPr>
              <w:t>姓名</w:t>
            </w:r>
          </w:p>
        </w:tc>
        <w:tc>
          <w:tcPr>
            <w:tcW w:w="1667" w:type="dxa"/>
          </w:tcPr>
          <w:p>
            <w:pPr>
              <w:jc w:val="center"/>
              <w:rPr>
                <w:kern w:val="0"/>
                <w:sz w:val="20"/>
                <w:lang w:val="en-GB"/>
              </w:rPr>
            </w:pPr>
            <w:r>
              <w:rPr>
                <w:kern w:val="0"/>
                <w:sz w:val="20"/>
                <w:lang w:val="en-GB"/>
              </w:rPr>
              <w:t>成绩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5" w:hRule="atLeast"/>
        </w:trPr>
        <w:tc>
          <w:tcPr>
            <w:tcW w:w="1715" w:type="dxa"/>
            <w:vAlign w:val="center"/>
          </w:tcPr>
          <w:p>
            <w:pPr>
              <w:jc w:val="center"/>
              <w:rPr>
                <w:rFonts w:hint="default" w:eastAsia="宋体"/>
                <w:kern w:val="0"/>
                <w:sz w:val="20"/>
                <w:lang w:val="en-US" w:eastAsia="zh-CN"/>
              </w:rPr>
            </w:pPr>
            <w:r>
              <w:rPr>
                <w:rFonts w:hint="eastAsia"/>
                <w:kern w:val="0"/>
                <w:sz w:val="20"/>
                <w:lang w:val="en-US" w:eastAsia="zh-CN"/>
              </w:rPr>
              <w:t>计算机20-1</w:t>
            </w:r>
          </w:p>
        </w:tc>
        <w:tc>
          <w:tcPr>
            <w:tcW w:w="1713" w:type="dxa"/>
            <w:vAlign w:val="center"/>
          </w:tcPr>
          <w:p>
            <w:pPr>
              <w:jc w:val="center"/>
              <w:rPr>
                <w:rFonts w:hint="default" w:eastAsia="宋体"/>
                <w:kern w:val="0"/>
                <w:sz w:val="20"/>
                <w:lang w:val="en-US" w:eastAsia="zh-CN"/>
              </w:rPr>
            </w:pPr>
            <w:r>
              <w:rPr>
                <w:rFonts w:hint="eastAsia"/>
                <w:kern w:val="0"/>
                <w:sz w:val="20"/>
                <w:lang w:val="en-US" w:eastAsia="zh-CN"/>
              </w:rPr>
              <w:t>4</w:t>
            </w:r>
          </w:p>
        </w:tc>
        <w:tc>
          <w:tcPr>
            <w:tcW w:w="1713" w:type="dxa"/>
            <w:vAlign w:val="center"/>
          </w:tcPr>
          <w:p>
            <w:pPr>
              <w:jc w:val="center"/>
              <w:rPr>
                <w:rFonts w:hint="default" w:eastAsia="宋体"/>
                <w:kern w:val="0"/>
                <w:sz w:val="20"/>
                <w:lang w:val="en-US" w:eastAsia="zh-CN"/>
              </w:rPr>
            </w:pPr>
            <w:r>
              <w:rPr>
                <w:rFonts w:hint="eastAsia"/>
                <w:kern w:val="0"/>
                <w:sz w:val="20"/>
                <w:lang w:val="en-US" w:eastAsia="zh-CN"/>
              </w:rPr>
              <w:t>20201210207</w:t>
            </w:r>
          </w:p>
        </w:tc>
        <w:tc>
          <w:tcPr>
            <w:tcW w:w="1714" w:type="dxa"/>
            <w:vAlign w:val="center"/>
          </w:tcPr>
          <w:p>
            <w:pPr>
              <w:jc w:val="center"/>
              <w:rPr>
                <w:rFonts w:hint="eastAsia" w:eastAsia="宋体"/>
                <w:kern w:val="0"/>
                <w:sz w:val="20"/>
                <w:lang w:val="en-US" w:eastAsia="zh-CN"/>
              </w:rPr>
            </w:pPr>
            <w:r>
              <w:rPr>
                <w:rFonts w:hint="eastAsia"/>
                <w:kern w:val="0"/>
                <w:sz w:val="20"/>
                <w:lang w:val="en-US" w:eastAsia="zh-CN"/>
              </w:rPr>
              <w:t>刘宇诺</w:t>
            </w:r>
          </w:p>
        </w:tc>
        <w:tc>
          <w:tcPr>
            <w:tcW w:w="1667" w:type="dxa"/>
          </w:tcPr>
          <w:p>
            <w:pPr>
              <w:jc w:val="center"/>
              <w:rPr>
                <w:kern w:val="0"/>
                <w:sz w:val="20"/>
                <w:lang w:val="en-GB"/>
              </w:rPr>
            </w:pPr>
          </w:p>
        </w:tc>
      </w:tr>
    </w:tbl>
    <w:p>
      <w:pPr>
        <w:rPr>
          <w:lang w:val="en-GB"/>
        </w:rPr>
      </w:pPr>
    </w:p>
    <w:p>
      <w:pPr>
        <w:pStyle w:val="3"/>
        <w:ind w:right="67" w:rightChars="32"/>
      </w:pPr>
      <w:bookmarkStart w:id="1" w:name="_Toc471988442"/>
      <w:r>
        <w:rPr>
          <w:rFonts w:hint="eastAsia"/>
        </w:rPr>
        <w:t>一、实验目的</w:t>
      </w:r>
      <w:bookmarkEnd w:id="1"/>
    </w:p>
    <w:p>
      <w:pPr>
        <w:tabs>
          <w:tab w:val="left" w:pos="2115"/>
        </w:tabs>
        <w:snapToGrid w:val="0"/>
        <w:spacing w:line="360" w:lineRule="auto"/>
        <w:ind w:right="67" w:rightChars="32" w:firstLine="630" w:firstLineChars="300"/>
        <w:rPr>
          <w:rFonts w:ascii="宋体" w:hAnsi="宋体"/>
          <w:szCs w:val="21"/>
          <w:lang w:val="en-GB"/>
        </w:rPr>
      </w:pPr>
      <w:r>
        <w:rPr>
          <w:rFonts w:hint="eastAsia" w:ascii="宋体" w:hAnsi="宋体"/>
          <w:szCs w:val="21"/>
        </w:rPr>
        <w:t>1．</w:t>
      </w:r>
      <w:r>
        <w:rPr>
          <w:rFonts w:hint="eastAsia" w:ascii="宋体" w:hAnsi="宋体"/>
          <w:szCs w:val="21"/>
          <w:lang w:val="en-GB"/>
        </w:rPr>
        <w:t>熟悉和掌握软件工程标准化的概念、内容和意义。</w:t>
      </w:r>
    </w:p>
    <w:p>
      <w:pPr>
        <w:tabs>
          <w:tab w:val="left" w:pos="2115"/>
        </w:tabs>
        <w:snapToGrid w:val="0"/>
        <w:spacing w:line="360" w:lineRule="auto"/>
        <w:ind w:left="540" w:leftChars="257" w:right="67" w:rightChars="32" w:firstLine="105" w:firstLineChars="50"/>
        <w:rPr>
          <w:rFonts w:ascii="宋体" w:hAnsi="宋体"/>
          <w:szCs w:val="21"/>
          <w:lang w:val="en-GB"/>
        </w:rPr>
      </w:pPr>
      <w:r>
        <w:rPr>
          <w:rFonts w:hint="eastAsia" w:ascii="宋体" w:hAnsi="宋体"/>
          <w:szCs w:val="21"/>
          <w:lang w:val="en-GB"/>
        </w:rPr>
        <w:t>2．了解那些支持国家标准和其他标准信息的专业网站较为系统全面的了解软件工程相关的国家标准。</w:t>
      </w:r>
    </w:p>
    <w:p>
      <w:pPr>
        <w:pStyle w:val="3"/>
        <w:ind w:right="67" w:rightChars="32"/>
      </w:pPr>
      <w:bookmarkStart w:id="2" w:name="_Toc471988443"/>
      <w:r>
        <w:rPr>
          <w:rFonts w:hint="eastAsia"/>
        </w:rPr>
        <w:t>二、实验</w:t>
      </w:r>
      <w:r>
        <w:rPr>
          <w:rFonts w:hint="eastAsia" w:ascii="黑体"/>
        </w:rPr>
        <w:t>内容与步骤</w:t>
      </w:r>
      <w:bookmarkEnd w:id="2"/>
    </w:p>
    <w:p>
      <w:pPr>
        <w:tabs>
          <w:tab w:val="left" w:pos="1680"/>
        </w:tabs>
        <w:snapToGrid w:val="0"/>
        <w:spacing w:line="360" w:lineRule="auto"/>
        <w:ind w:left="540" w:right="67" w:rightChars="32"/>
        <w:rPr>
          <w:rFonts w:ascii="宋体" w:hAnsi="宋体"/>
          <w:szCs w:val="21"/>
          <w:lang w:val="en-GB"/>
        </w:rPr>
      </w:pPr>
      <w:r>
        <w:rPr>
          <w:rFonts w:hint="eastAsia" w:ascii="宋体" w:hAnsi="宋体"/>
          <w:szCs w:val="21"/>
        </w:rPr>
        <w:t>1．</w:t>
      </w:r>
      <w:r>
        <w:rPr>
          <w:rFonts w:hint="eastAsia" w:ascii="宋体" w:hAnsi="宋体"/>
          <w:szCs w:val="21"/>
          <w:lang w:val="en-GB"/>
        </w:rPr>
        <w:t>上网浏览和检索标准化专业网站，并记录标准化专业网址，网站名称，内容描述</w:t>
      </w:r>
    </w:p>
    <w:p>
      <w:pPr>
        <w:tabs>
          <w:tab w:val="left" w:pos="1680"/>
        </w:tabs>
        <w:snapToGrid w:val="0"/>
        <w:spacing w:line="360" w:lineRule="auto"/>
        <w:ind w:left="540" w:right="67" w:rightChars="32"/>
        <w:rPr>
          <w:rFonts w:hint="eastAsia" w:ascii="宋体" w:hAnsi="宋体"/>
          <w:szCs w:val="21"/>
          <w:lang w:val="en-US" w:eastAsia="zh-CN"/>
        </w:rPr>
      </w:pPr>
      <w:r>
        <w:rPr>
          <w:rFonts w:hint="eastAsia" w:ascii="宋体" w:hAnsi="宋体"/>
          <w:szCs w:val="21"/>
          <w:lang w:val="en-US" w:eastAsia="zh-CN"/>
        </w:rPr>
        <w:t xml:space="preserve"> 1）https://kns.cnki.net/kns8?dbcode=CISD    中国知网标准数据库</w:t>
      </w:r>
    </w:p>
    <w:p>
      <w:pPr>
        <w:tabs>
          <w:tab w:val="left" w:pos="1680"/>
        </w:tabs>
        <w:snapToGrid w:val="0"/>
        <w:spacing w:line="360" w:lineRule="auto"/>
        <w:ind w:left="540" w:right="67" w:rightChars="32" w:firstLine="420"/>
        <w:rPr>
          <w:rFonts w:hint="eastAsia" w:ascii="宋体" w:hAnsi="宋体"/>
          <w:szCs w:val="21"/>
          <w:lang w:val="en-US" w:eastAsia="zh-CN"/>
        </w:rPr>
      </w:pPr>
      <w:r>
        <w:rPr>
          <w:rFonts w:hint="eastAsia" w:ascii="宋体" w:hAnsi="宋体"/>
          <w:szCs w:val="21"/>
          <w:lang w:val="en-US" w:eastAsia="zh-CN"/>
        </w:rPr>
        <w:t>是国内数据量最大，收录最全的标准数据库，可以检索到现行、作废、被替代的标准</w:t>
      </w:r>
    </w:p>
    <w:p>
      <w:pPr>
        <w:numPr>
          <w:ilvl w:val="0"/>
          <w:numId w:val="1"/>
        </w:numPr>
        <w:tabs>
          <w:tab w:val="left" w:pos="1680"/>
        </w:tabs>
        <w:snapToGrid w:val="0"/>
        <w:spacing w:line="360" w:lineRule="auto"/>
        <w:ind w:left="630" w:leftChars="0" w:right="67" w:rightChars="32" w:firstLine="0" w:firstLineChars="0"/>
        <w:rPr>
          <w:rFonts w:hint="eastAsia" w:ascii="宋体" w:hAnsi="宋体"/>
          <w:szCs w:val="21"/>
          <w:lang w:val="en-US" w:eastAsia="zh-CN"/>
        </w:rPr>
      </w:pPr>
      <w:r>
        <w:rPr>
          <w:rFonts w:hint="eastAsia" w:ascii="宋体" w:hAnsi="宋体"/>
          <w:szCs w:val="21"/>
          <w:lang w:val="en-US" w:eastAsia="zh-CN"/>
        </w:rPr>
        <w:t>http://std.samr.gov.cn/    全国标准信息服务平台</w:t>
      </w:r>
    </w:p>
    <w:p>
      <w:pPr>
        <w:numPr>
          <w:ilvl w:val="0"/>
          <w:numId w:val="0"/>
        </w:numPr>
        <w:tabs>
          <w:tab w:val="left" w:pos="1680"/>
        </w:tabs>
        <w:snapToGrid w:val="0"/>
        <w:spacing w:line="360" w:lineRule="auto"/>
        <w:ind w:left="630" w:leftChars="0" w:right="67" w:rightChars="32"/>
        <w:rPr>
          <w:rFonts w:hint="eastAsia" w:ascii="宋体" w:hAnsi="宋体"/>
          <w:szCs w:val="21"/>
          <w:lang w:val="en-US" w:eastAsia="zh-CN"/>
        </w:rPr>
      </w:pPr>
      <w:r>
        <w:rPr>
          <w:rFonts w:hint="eastAsia" w:ascii="宋体" w:hAnsi="宋体"/>
          <w:szCs w:val="21"/>
          <w:lang w:val="en-US" w:eastAsia="zh-CN"/>
        </w:rPr>
        <w:t xml:space="preserve">   不仅收录了国家标准，也有国际标准、国外标准</w:t>
      </w:r>
    </w:p>
    <w:p>
      <w:pPr>
        <w:numPr>
          <w:ilvl w:val="0"/>
          <w:numId w:val="1"/>
        </w:numPr>
        <w:tabs>
          <w:tab w:val="left" w:pos="1680"/>
        </w:tabs>
        <w:snapToGrid w:val="0"/>
        <w:spacing w:line="360" w:lineRule="auto"/>
        <w:ind w:left="630" w:leftChars="0" w:right="67" w:rightChars="32" w:firstLine="0" w:firstLineChars="0"/>
        <w:rPr>
          <w:rFonts w:hint="eastAsia" w:ascii="宋体" w:hAnsi="宋体"/>
          <w:szCs w:val="21"/>
          <w:lang w:val="en-US" w:eastAsia="zh-CN"/>
        </w:rPr>
      </w:pPr>
      <w:r>
        <w:rPr>
          <w:rFonts w:hint="eastAsia" w:ascii="宋体" w:hAnsi="宋体"/>
          <w:szCs w:val="21"/>
          <w:lang w:val="en-US" w:eastAsia="zh-CN"/>
        </w:rPr>
        <w:t>https://www.nstl.gov.cn/    国家科技图书文献中心</w:t>
      </w:r>
    </w:p>
    <w:p>
      <w:pPr>
        <w:numPr>
          <w:ilvl w:val="0"/>
          <w:numId w:val="0"/>
        </w:numPr>
        <w:tabs>
          <w:tab w:val="left" w:pos="1680"/>
        </w:tabs>
        <w:snapToGrid w:val="0"/>
        <w:spacing w:line="360" w:lineRule="auto"/>
        <w:ind w:left="630" w:leftChars="0" w:right="67" w:rightChars="32"/>
        <w:rPr>
          <w:rFonts w:hint="eastAsia" w:ascii="宋体" w:hAnsi="宋体"/>
          <w:szCs w:val="21"/>
          <w:lang w:val="en-US" w:eastAsia="zh-CN"/>
        </w:rPr>
      </w:pPr>
      <w:r>
        <w:rPr>
          <w:rFonts w:hint="eastAsia" w:ascii="宋体" w:hAnsi="宋体"/>
          <w:szCs w:val="21"/>
          <w:lang w:val="en-US" w:eastAsia="zh-CN"/>
        </w:rPr>
        <w:t xml:space="preserve">   提供国内外标准的检索还有计量规程的检索</w:t>
      </w:r>
    </w:p>
    <w:p>
      <w:pPr>
        <w:numPr>
          <w:ilvl w:val="0"/>
          <w:numId w:val="0"/>
        </w:numPr>
        <w:tabs>
          <w:tab w:val="left" w:pos="1680"/>
        </w:tabs>
        <w:snapToGrid w:val="0"/>
        <w:spacing w:line="360" w:lineRule="auto"/>
        <w:ind w:left="630" w:leftChars="0" w:right="67" w:rightChars="32"/>
        <w:rPr>
          <w:rFonts w:hint="eastAsia" w:ascii="宋体" w:hAnsi="宋体"/>
          <w:szCs w:val="21"/>
          <w:lang w:val="en-GB" w:eastAsia="zh-CN"/>
        </w:rPr>
      </w:pPr>
    </w:p>
    <w:p>
      <w:pPr>
        <w:numPr>
          <w:ilvl w:val="0"/>
          <w:numId w:val="2"/>
        </w:numPr>
        <w:tabs>
          <w:tab w:val="left" w:pos="1680"/>
        </w:tabs>
        <w:snapToGrid w:val="0"/>
        <w:spacing w:line="360" w:lineRule="auto"/>
        <w:ind w:left="540" w:right="67" w:rightChars="32"/>
        <w:rPr>
          <w:rFonts w:hint="eastAsia" w:ascii="宋体" w:hAnsi="宋体"/>
          <w:szCs w:val="21"/>
          <w:lang w:val="en-GB"/>
        </w:rPr>
      </w:pPr>
      <w:r>
        <w:rPr>
          <w:rFonts w:hint="eastAsia" w:ascii="宋体" w:hAnsi="宋体"/>
          <w:szCs w:val="21"/>
          <w:lang w:val="en-GB"/>
        </w:rPr>
        <w:t>了解软件工程标准化的概念</w:t>
      </w:r>
    </w:p>
    <w:p>
      <w:pPr>
        <w:keepNext w:val="0"/>
        <w:keepLines w:val="0"/>
        <w:pageBreakBefore w:val="0"/>
        <w:widowControl w:val="0"/>
        <w:numPr>
          <w:ilvl w:val="0"/>
          <w:numId w:val="0"/>
        </w:numPr>
        <w:tabs>
          <w:tab w:val="left" w:pos="1680"/>
        </w:tabs>
        <w:kinsoku/>
        <w:wordWrap/>
        <w:overflowPunct/>
        <w:topLinePunct w:val="0"/>
        <w:autoSpaceDE/>
        <w:autoSpaceDN/>
        <w:bidi w:val="0"/>
        <w:adjustRightInd/>
        <w:snapToGrid w:val="0"/>
        <w:spacing w:line="360" w:lineRule="auto"/>
        <w:ind w:left="629" w:leftChars="0" w:right="67" w:rightChars="32" w:firstLine="420" w:firstLineChars="200"/>
        <w:textAlignment w:val="auto"/>
        <w:rPr>
          <w:rFonts w:hint="eastAsia" w:ascii="宋体" w:hAnsi="宋体"/>
          <w:szCs w:val="21"/>
          <w:lang w:val="en-GB" w:eastAsia="zh-CN"/>
        </w:rPr>
      </w:pPr>
      <w:r>
        <w:rPr>
          <w:rFonts w:hint="eastAsia" w:ascii="宋体" w:hAnsi="宋体"/>
          <w:szCs w:val="21"/>
          <w:lang w:val="en-GB" w:eastAsia="zh-CN"/>
        </w:rPr>
        <w:t>是同一个通过制定标准、监督标准实施来使软件的开发、运行、维护直到退役等软件生存周期规范化, 有效的管理软件的研究制作、生产使用, 把软件产品质量的全部活动都提高的一个工作和产品。</w:t>
      </w:r>
    </w:p>
    <w:p>
      <w:pPr>
        <w:keepNext w:val="0"/>
        <w:keepLines w:val="0"/>
        <w:pageBreakBefore w:val="0"/>
        <w:widowControl w:val="0"/>
        <w:numPr>
          <w:ilvl w:val="0"/>
          <w:numId w:val="0"/>
        </w:numPr>
        <w:tabs>
          <w:tab w:val="left" w:pos="1680"/>
        </w:tabs>
        <w:kinsoku/>
        <w:wordWrap/>
        <w:overflowPunct/>
        <w:topLinePunct w:val="0"/>
        <w:autoSpaceDE/>
        <w:autoSpaceDN/>
        <w:bidi w:val="0"/>
        <w:adjustRightInd/>
        <w:snapToGrid w:val="0"/>
        <w:spacing w:line="360" w:lineRule="auto"/>
        <w:ind w:left="629" w:leftChars="0" w:right="67" w:rightChars="32" w:firstLine="420" w:firstLineChars="200"/>
        <w:textAlignment w:val="auto"/>
        <w:rPr>
          <w:rFonts w:hint="eastAsia" w:ascii="宋体" w:hAnsi="宋体"/>
          <w:szCs w:val="21"/>
          <w:lang w:val="en-GB" w:eastAsia="zh-CN"/>
        </w:rPr>
      </w:pPr>
      <w:r>
        <w:rPr>
          <w:rFonts w:hint="eastAsia" w:ascii="宋体" w:hAnsi="宋体"/>
          <w:szCs w:val="21"/>
          <w:lang w:val="en-GB" w:eastAsia="zh-CN"/>
        </w:rPr>
        <w:t>是同一个通过制定标准、监督标准实施来使软件的开发、运行、维护直到退役等软件生存周期规范化, 有效的管理软件的研究制作、生产使用, 把软件产品质量的全部活动都提高的一个工作和产品。</w:t>
      </w:r>
    </w:p>
    <w:p>
      <w:pPr>
        <w:keepNext w:val="0"/>
        <w:keepLines w:val="0"/>
        <w:pageBreakBefore w:val="0"/>
        <w:widowControl w:val="0"/>
        <w:numPr>
          <w:ilvl w:val="0"/>
          <w:numId w:val="3"/>
        </w:numPr>
        <w:tabs>
          <w:tab w:val="left" w:pos="1680"/>
          <w:tab w:val="clear" w:pos="312"/>
        </w:tabs>
        <w:kinsoku/>
        <w:wordWrap/>
        <w:overflowPunct/>
        <w:topLinePunct w:val="0"/>
        <w:autoSpaceDE/>
        <w:autoSpaceDN/>
        <w:bidi w:val="0"/>
        <w:adjustRightInd/>
        <w:snapToGrid w:val="0"/>
        <w:spacing w:line="360" w:lineRule="auto"/>
        <w:ind w:left="629" w:leftChars="0" w:right="67" w:rightChars="32" w:firstLine="420" w:firstLineChars="200"/>
        <w:textAlignment w:val="auto"/>
        <w:rPr>
          <w:rFonts w:hint="eastAsia" w:ascii="宋体" w:hAnsi="宋体"/>
          <w:szCs w:val="21"/>
          <w:lang w:val="en-GB" w:eastAsia="zh-CN"/>
        </w:rPr>
      </w:pPr>
      <w:r>
        <w:rPr>
          <w:rFonts w:hint="eastAsia" w:ascii="宋体" w:hAnsi="宋体"/>
          <w:szCs w:val="21"/>
          <w:lang w:val="en-GB" w:eastAsia="zh-CN"/>
        </w:rPr>
        <w:t>胡崇刚.软件工程的标准化[J].电子技术与软件工程,2019(10):48.</w:t>
      </w:r>
    </w:p>
    <w:p>
      <w:pPr>
        <w:keepNext w:val="0"/>
        <w:keepLines w:val="0"/>
        <w:pageBreakBefore w:val="0"/>
        <w:widowControl w:val="0"/>
        <w:numPr>
          <w:ilvl w:val="0"/>
          <w:numId w:val="0"/>
        </w:numPr>
        <w:tabs>
          <w:tab w:val="left" w:pos="1680"/>
        </w:tabs>
        <w:kinsoku/>
        <w:wordWrap/>
        <w:overflowPunct/>
        <w:topLinePunct w:val="0"/>
        <w:autoSpaceDE/>
        <w:autoSpaceDN/>
        <w:bidi w:val="0"/>
        <w:adjustRightInd/>
        <w:snapToGrid w:val="0"/>
        <w:spacing w:line="360" w:lineRule="auto"/>
        <w:ind w:leftChars="200" w:right="67" w:rightChars="32"/>
        <w:textAlignment w:val="auto"/>
        <w:rPr>
          <w:rFonts w:hint="eastAsia" w:ascii="宋体" w:hAnsi="宋体"/>
          <w:szCs w:val="21"/>
          <w:lang w:val="en-GB" w:eastAsia="zh-CN"/>
        </w:rPr>
      </w:pPr>
    </w:p>
    <w:p>
      <w:pPr>
        <w:tabs>
          <w:tab w:val="left" w:pos="1680"/>
        </w:tabs>
        <w:snapToGrid w:val="0"/>
        <w:spacing w:line="360" w:lineRule="auto"/>
        <w:ind w:left="540" w:right="67" w:rightChars="32"/>
        <w:rPr>
          <w:rFonts w:ascii="宋体" w:hAnsi="宋体"/>
          <w:szCs w:val="21"/>
          <w:lang w:val="en-GB"/>
        </w:rPr>
      </w:pPr>
      <w:r>
        <w:rPr>
          <w:rFonts w:hint="eastAsia" w:ascii="宋体" w:hAnsi="宋体"/>
          <w:szCs w:val="21"/>
          <w:lang w:val="en-GB"/>
        </w:rPr>
        <w:t>3．了解软件工程的国家标准（查找资料并标明出处）</w:t>
      </w:r>
    </w:p>
    <w:p>
      <w:pPr>
        <w:numPr>
          <w:ilvl w:val="4"/>
          <w:numId w:val="4"/>
        </w:numPr>
        <w:snapToGrid w:val="0"/>
        <w:spacing w:line="360" w:lineRule="auto"/>
        <w:ind w:right="67" w:rightChars="32"/>
        <w:rPr>
          <w:rFonts w:hint="default" w:ascii="宋体" w:hAnsi="宋体"/>
          <w:sz w:val="18"/>
          <w:szCs w:val="18"/>
          <w:lang w:val="en-US"/>
        </w:rPr>
      </w:pPr>
      <w:r>
        <w:rPr>
          <w:rFonts w:hint="eastAsia" w:ascii="宋体" w:hAnsi="宋体"/>
          <w:sz w:val="18"/>
          <w:szCs w:val="18"/>
          <w:lang w:val="en-GB"/>
        </w:rPr>
        <w:t>GB/T8566-2001</w:t>
      </w:r>
      <w:r>
        <w:rPr>
          <w:rFonts w:hint="eastAsia" w:ascii="宋体" w:hAnsi="宋体"/>
          <w:sz w:val="18"/>
          <w:szCs w:val="18"/>
          <w:lang w:val="en-US" w:eastAsia="zh-CN"/>
        </w:rPr>
        <w:t>:</w:t>
      </w:r>
      <w:r>
        <w:rPr>
          <w:rFonts w:hint="default" w:ascii="Arial" w:hAnsi="Arial" w:cs="Arial"/>
          <w:b w:val="0"/>
          <w:bCs w:val="0"/>
          <w:i w:val="0"/>
          <w:iCs w:val="0"/>
          <w:caps w:val="0"/>
          <w:color w:val="333333"/>
          <w:spacing w:val="0"/>
          <w:sz w:val="18"/>
          <w:szCs w:val="18"/>
          <w:shd w:val="clear" w:fill="FFFFFF"/>
        </w:rPr>
        <w:t>信息技术 软件生存周期过程</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GB/T8567-1988计算机软件产品开发文件编制指南</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0"/>
          <w:numId w:val="0"/>
        </w:numPr>
        <w:snapToGrid w:val="0"/>
        <w:spacing w:line="360" w:lineRule="auto"/>
        <w:ind w:left="420" w:leftChars="0" w:right="67" w:rightChars="32" w:firstLine="1440" w:firstLineChars="800"/>
        <w:rPr>
          <w:rFonts w:ascii="宋体" w:hAnsi="宋体"/>
          <w:sz w:val="18"/>
          <w:szCs w:val="18"/>
          <w:lang w:val="en-GB"/>
        </w:rPr>
      </w:pPr>
      <w:r>
        <w:rPr>
          <w:rFonts w:hint="eastAsia" w:ascii="宋体" w:hAnsi="宋体"/>
          <w:sz w:val="18"/>
          <w:szCs w:val="18"/>
          <w:lang w:val="en-GB"/>
        </w:rPr>
        <w:t>GB/T8567-2006计算机软件文档编制规范</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GB/T9385-1988计算机软件需求说明编制指南</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GB/T9386-1988计算机软件测试文件编制规范</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GB/T1526-1989信息处理 数据流程图、程序流程图、系统流程图、程序网络图和系统资源图的文件编制符号及约定</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GB/T11547-1989塑料耐液体化学药品(包括水)性能测定方法</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GB/T12504-1990计算机软件质量保证计划规范</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GB/T12505-1990计算机软件配置管理计划规范</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GB/T14079-1993软件维护指南</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GB/T16680-1996软件文档管理指南</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ascii="宋体" w:hAnsi="宋体"/>
          <w:sz w:val="18"/>
          <w:szCs w:val="18"/>
          <w:lang w:val="en-GB"/>
        </w:rPr>
      </w:pPr>
      <w:r>
        <w:rPr>
          <w:rFonts w:hint="eastAsia" w:ascii="宋体" w:hAnsi="宋体"/>
          <w:sz w:val="18"/>
          <w:szCs w:val="18"/>
          <w:lang w:val="en-GB"/>
        </w:rPr>
        <w:t>GB/T15532-1995计算机软件单元测试</w:t>
      </w:r>
      <w:r>
        <w:rPr>
          <w:rFonts w:hint="eastAsia" w:ascii="Arial" w:hAnsi="Arial" w:cs="Arial"/>
          <w:b w:val="0"/>
          <w:bCs w:val="0"/>
          <w:i w:val="0"/>
          <w:iCs w:val="0"/>
          <w:caps w:val="0"/>
          <w:color w:val="333333"/>
          <w:spacing w:val="0"/>
          <w:sz w:val="18"/>
          <w:szCs w:val="18"/>
          <w:shd w:val="clear" w:fill="FFFFFF"/>
          <w:lang w:val="en-US" w:eastAsia="zh-CN"/>
        </w:rPr>
        <w:t>--</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hint="eastAsia" w:ascii="宋体" w:hAnsi="宋体"/>
          <w:sz w:val="18"/>
          <w:szCs w:val="18"/>
          <w:lang w:val="en-GB"/>
        </w:rPr>
      </w:pPr>
      <w:r>
        <w:rPr>
          <w:rFonts w:hint="eastAsia" w:ascii="宋体" w:hAnsi="宋体"/>
          <w:sz w:val="18"/>
          <w:szCs w:val="18"/>
          <w:lang w:val="en-GB"/>
        </w:rPr>
        <w:t>GB/T14394-1993计算机软件可靠性和可维护性管理</w:t>
      </w:r>
      <w:r>
        <w:rPr>
          <w:rFonts w:hint="eastAsia" w:ascii="宋体" w:hAnsi="宋体"/>
          <w:sz w:val="18"/>
          <w:szCs w:val="18"/>
          <w:lang w:val="en-US" w:eastAsia="zh-CN"/>
        </w:rPr>
        <w:t>--全国标准信息服务平台</w:t>
      </w:r>
    </w:p>
    <w:p>
      <w:pPr>
        <w:numPr>
          <w:ilvl w:val="4"/>
          <w:numId w:val="4"/>
        </w:numPr>
        <w:snapToGrid w:val="0"/>
        <w:spacing w:line="360" w:lineRule="auto"/>
        <w:ind w:right="67" w:rightChars="32"/>
        <w:rPr>
          <w:rFonts w:hint="eastAsia" w:ascii="宋体" w:hAnsi="宋体"/>
          <w:sz w:val="18"/>
          <w:szCs w:val="18"/>
          <w:lang w:val="en-GB"/>
        </w:rPr>
      </w:pPr>
      <w:r>
        <w:rPr>
          <w:rFonts w:hint="eastAsia" w:ascii="宋体" w:hAnsi="宋体"/>
          <w:sz w:val="18"/>
          <w:szCs w:val="18"/>
          <w:lang w:val="en-GB"/>
        </w:rPr>
        <w:t>其他（个人查找的与软件工程标准化有关的资料）</w:t>
      </w:r>
    </w:p>
    <w:p>
      <w:pPr>
        <w:numPr>
          <w:ilvl w:val="0"/>
          <w:numId w:val="0"/>
        </w:numPr>
        <w:snapToGrid w:val="0"/>
        <w:spacing w:line="360" w:lineRule="auto"/>
        <w:ind w:left="1260" w:leftChars="0" w:right="67" w:rightChars="32" w:firstLine="420" w:firstLineChars="0"/>
        <w:rPr>
          <w:rFonts w:hint="eastAsia"/>
          <w:lang w:val="en-US" w:eastAsia="zh-CN"/>
        </w:rPr>
      </w:pPr>
    </w:p>
    <w:p>
      <w:pPr>
        <w:numPr>
          <w:ilvl w:val="0"/>
          <w:numId w:val="0"/>
        </w:numPr>
        <w:snapToGrid w:val="0"/>
        <w:spacing w:line="360" w:lineRule="auto"/>
        <w:ind w:left="1260" w:leftChars="0" w:right="67" w:rightChars="32" w:firstLine="420" w:firstLineChars="0"/>
        <w:rPr>
          <w:rFonts w:hint="eastAsia"/>
          <w:sz w:val="18"/>
          <w:szCs w:val="18"/>
          <w:lang w:val="en-US" w:eastAsia="zh-CN"/>
        </w:rPr>
      </w:pPr>
      <w:r>
        <w:rPr>
          <w:rFonts w:hint="eastAsia"/>
          <w:sz w:val="18"/>
          <w:szCs w:val="18"/>
          <w:lang w:val="en-US" w:eastAsia="zh-CN"/>
        </w:rPr>
        <w:t>软件工程标准化给软件工程可以带来的好处：</w:t>
      </w:r>
    </w:p>
    <w:p>
      <w:pPr>
        <w:numPr>
          <w:ilvl w:val="0"/>
          <w:numId w:val="0"/>
        </w:numPr>
        <w:snapToGrid w:val="0"/>
        <w:spacing w:line="360" w:lineRule="auto"/>
        <w:ind w:left="1260" w:leftChars="0" w:right="67" w:rightChars="32" w:firstLine="420" w:firstLineChars="0"/>
        <w:rPr>
          <w:rFonts w:hint="eastAsia"/>
          <w:sz w:val="18"/>
          <w:szCs w:val="18"/>
          <w:lang w:val="en-GB" w:eastAsia="zh-CN"/>
        </w:rPr>
      </w:pPr>
      <w:r>
        <w:rPr>
          <w:rFonts w:hint="eastAsia"/>
          <w:sz w:val="18"/>
          <w:szCs w:val="18"/>
          <w:lang w:val="en-US" w:eastAsia="zh-CN"/>
        </w:rPr>
        <w:t>1）</w:t>
      </w:r>
      <w:r>
        <w:rPr>
          <w:rFonts w:hint="eastAsia"/>
          <w:sz w:val="18"/>
          <w:szCs w:val="18"/>
          <w:lang w:val="en-GB" w:eastAsia="zh-CN"/>
        </w:rPr>
        <w:t>可提高软件的可靠性、可维护性和可移植性;</w:t>
      </w:r>
    </w:p>
    <w:p>
      <w:pPr>
        <w:numPr>
          <w:ilvl w:val="0"/>
          <w:numId w:val="0"/>
        </w:numPr>
        <w:snapToGrid w:val="0"/>
        <w:spacing w:line="360" w:lineRule="auto"/>
        <w:ind w:left="1260" w:leftChars="0" w:right="67" w:rightChars="32" w:firstLine="420" w:firstLineChars="0"/>
        <w:rPr>
          <w:rFonts w:hint="eastAsia"/>
          <w:sz w:val="18"/>
          <w:szCs w:val="18"/>
          <w:lang w:val="en-GB" w:eastAsia="zh-CN"/>
        </w:rPr>
      </w:pPr>
      <w:r>
        <w:rPr>
          <w:rFonts w:hint="eastAsia"/>
          <w:sz w:val="18"/>
          <w:szCs w:val="18"/>
          <w:lang w:val="en-US" w:eastAsia="zh-CN"/>
        </w:rPr>
        <w:t>2）</w:t>
      </w:r>
      <w:r>
        <w:rPr>
          <w:rFonts w:hint="eastAsia"/>
          <w:sz w:val="18"/>
          <w:szCs w:val="18"/>
          <w:lang w:val="en-GB" w:eastAsia="zh-CN"/>
        </w:rPr>
        <w:t>可提高软件的生产率;</w:t>
      </w:r>
    </w:p>
    <w:p>
      <w:pPr>
        <w:numPr>
          <w:ilvl w:val="0"/>
          <w:numId w:val="0"/>
        </w:numPr>
        <w:snapToGrid w:val="0"/>
        <w:spacing w:line="360" w:lineRule="auto"/>
        <w:ind w:left="1260" w:leftChars="0" w:right="67" w:rightChars="32" w:firstLine="420" w:firstLineChars="0"/>
        <w:rPr>
          <w:rFonts w:hint="eastAsia"/>
          <w:sz w:val="18"/>
          <w:szCs w:val="18"/>
          <w:lang w:val="en-GB" w:eastAsia="zh-CN"/>
        </w:rPr>
      </w:pPr>
      <w:r>
        <w:rPr>
          <w:rFonts w:hint="eastAsia"/>
          <w:sz w:val="18"/>
          <w:szCs w:val="18"/>
          <w:lang w:val="en-US" w:eastAsia="zh-CN"/>
        </w:rPr>
        <w:t>3）</w:t>
      </w:r>
      <w:r>
        <w:rPr>
          <w:rFonts w:hint="eastAsia"/>
          <w:sz w:val="18"/>
          <w:szCs w:val="18"/>
          <w:lang w:val="en-GB" w:eastAsia="zh-CN"/>
        </w:rPr>
        <w:t>可提高软件人员的技术水平;</w:t>
      </w:r>
    </w:p>
    <w:p>
      <w:pPr>
        <w:numPr>
          <w:ilvl w:val="0"/>
          <w:numId w:val="0"/>
        </w:numPr>
        <w:snapToGrid w:val="0"/>
        <w:spacing w:line="360" w:lineRule="auto"/>
        <w:ind w:left="1260" w:leftChars="0" w:right="67" w:rightChars="32" w:firstLine="420" w:firstLineChars="0"/>
        <w:rPr>
          <w:rFonts w:hint="eastAsia"/>
          <w:sz w:val="18"/>
          <w:szCs w:val="18"/>
          <w:lang w:val="en-GB" w:eastAsia="zh-CN"/>
        </w:rPr>
      </w:pPr>
      <w:r>
        <w:rPr>
          <w:rFonts w:hint="eastAsia"/>
          <w:sz w:val="18"/>
          <w:szCs w:val="18"/>
          <w:lang w:val="en-US" w:eastAsia="zh-CN"/>
        </w:rPr>
        <w:t>4）</w:t>
      </w:r>
      <w:r>
        <w:rPr>
          <w:rFonts w:hint="eastAsia"/>
          <w:sz w:val="18"/>
          <w:szCs w:val="18"/>
          <w:lang w:val="en-GB" w:eastAsia="zh-CN"/>
        </w:rPr>
        <w:t>可提高软件人员之间的通信效率，减少差错和误解;</w:t>
      </w:r>
    </w:p>
    <w:p>
      <w:pPr>
        <w:numPr>
          <w:ilvl w:val="0"/>
          <w:numId w:val="0"/>
        </w:numPr>
        <w:snapToGrid w:val="0"/>
        <w:spacing w:line="360" w:lineRule="auto"/>
        <w:ind w:left="1260" w:leftChars="0" w:right="67" w:rightChars="32" w:firstLine="420" w:firstLineChars="0"/>
        <w:rPr>
          <w:rFonts w:hint="eastAsia"/>
          <w:sz w:val="18"/>
          <w:szCs w:val="18"/>
          <w:lang w:val="en-GB" w:eastAsia="zh-CN"/>
        </w:rPr>
      </w:pPr>
      <w:r>
        <w:rPr>
          <w:rFonts w:hint="eastAsia"/>
          <w:sz w:val="18"/>
          <w:szCs w:val="18"/>
          <w:lang w:val="en-US" w:eastAsia="zh-CN"/>
        </w:rPr>
        <w:t>5）</w:t>
      </w:r>
      <w:r>
        <w:rPr>
          <w:rFonts w:hint="eastAsia"/>
          <w:sz w:val="18"/>
          <w:szCs w:val="18"/>
          <w:lang w:val="en-GB" w:eastAsia="zh-CN"/>
        </w:rPr>
        <w:t>有利于软件管理;有利于降低软件产品的成本和运行维护成本;</w:t>
      </w:r>
    </w:p>
    <w:p>
      <w:pPr>
        <w:numPr>
          <w:ilvl w:val="0"/>
          <w:numId w:val="0"/>
        </w:numPr>
        <w:snapToGrid w:val="0"/>
        <w:spacing w:line="360" w:lineRule="auto"/>
        <w:ind w:left="1260" w:leftChars="0" w:right="67" w:rightChars="32" w:firstLine="420" w:firstLineChars="0"/>
        <w:rPr>
          <w:rFonts w:hint="eastAsia"/>
          <w:sz w:val="18"/>
          <w:szCs w:val="18"/>
          <w:lang w:val="en-GB" w:eastAsia="zh-CN"/>
        </w:rPr>
      </w:pPr>
      <w:r>
        <w:rPr>
          <w:rFonts w:hint="eastAsia"/>
          <w:sz w:val="18"/>
          <w:szCs w:val="18"/>
          <w:lang w:val="en-US" w:eastAsia="zh-CN"/>
        </w:rPr>
        <w:t>6）</w:t>
      </w:r>
      <w:r>
        <w:rPr>
          <w:rFonts w:hint="eastAsia"/>
          <w:sz w:val="18"/>
          <w:szCs w:val="18"/>
          <w:lang w:val="en-GB" w:eastAsia="zh-CN"/>
        </w:rPr>
        <w:t>有利于缩短软件开发周期。</w:t>
      </w:r>
    </w:p>
    <w:p>
      <w:pPr>
        <w:numPr>
          <w:ilvl w:val="0"/>
          <w:numId w:val="0"/>
        </w:numPr>
        <w:snapToGrid w:val="0"/>
        <w:spacing w:line="360" w:lineRule="auto"/>
        <w:ind w:left="1260" w:leftChars="0" w:right="67" w:rightChars="32" w:firstLine="420" w:firstLineChars="0"/>
        <w:rPr>
          <w:rFonts w:hint="default"/>
          <w:lang w:val="en-US" w:eastAsia="zh-CN"/>
        </w:rPr>
      </w:pPr>
    </w:p>
    <w:p>
      <w:pPr>
        <w:pStyle w:val="3"/>
        <w:numPr>
          <w:ilvl w:val="0"/>
          <w:numId w:val="5"/>
        </w:numPr>
        <w:ind w:right="67" w:rightChars="32"/>
        <w:rPr>
          <w:rFonts w:hint="eastAsia"/>
        </w:rPr>
      </w:pPr>
      <w:r>
        <w:rPr>
          <w:rFonts w:hint="eastAsia"/>
        </w:rPr>
        <w:t>实验总结</w:t>
      </w:r>
    </w:p>
    <w:p>
      <w:pPr>
        <w:numPr>
          <w:ilvl w:val="0"/>
          <w:numId w:val="0"/>
        </w:numPr>
        <w:ind w:left="420" w:leftChars="0" w:firstLine="420" w:firstLineChars="0"/>
        <w:rPr>
          <w:rFonts w:hint="default" w:eastAsia="宋体"/>
          <w:lang w:val="en-US" w:eastAsia="zh-CN"/>
        </w:rPr>
      </w:pPr>
      <w:r>
        <w:rPr>
          <w:rFonts w:hint="eastAsia"/>
          <w:lang w:val="en-US" w:eastAsia="zh-CN"/>
        </w:rPr>
        <w:t>通过本次实验知道了有哪些查询标准化信息的网站，可以再国家标准化信息平台查询也可以再知网的标准数据库查找。通过查找软件工程标准化，知道了软工标准化的概念，了解了软工标准化的重要性和好处。国家标准信息的查询，刚好利用到了一开始找到的查询标准化信息的网站，得到了很好的实践，这样记忆更深刻。通过这次实验对标准化信息的检索有了一定的了解，以后有需要查询时，这些信息也能提供一定的帮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36F87"/>
    <w:multiLevelType w:val="singleLevel"/>
    <w:tmpl w:val="AE036F87"/>
    <w:lvl w:ilvl="0" w:tentative="0">
      <w:start w:val="3"/>
      <w:numFmt w:val="chineseCounting"/>
      <w:suff w:val="nothing"/>
      <w:lvlText w:val="%1、"/>
      <w:lvlJc w:val="left"/>
      <w:rPr>
        <w:rFonts w:hint="eastAsia"/>
      </w:rPr>
    </w:lvl>
  </w:abstractNum>
  <w:abstractNum w:abstractNumId="1">
    <w:nsid w:val="D02B7C13"/>
    <w:multiLevelType w:val="singleLevel"/>
    <w:tmpl w:val="D02B7C13"/>
    <w:lvl w:ilvl="0" w:tentative="0">
      <w:start w:val="2"/>
      <w:numFmt w:val="decimal"/>
      <w:suff w:val="nothing"/>
      <w:lvlText w:val="%1）"/>
      <w:lvlJc w:val="left"/>
      <w:pPr>
        <w:ind w:left="630" w:leftChars="0" w:firstLine="0" w:firstLineChars="0"/>
      </w:pPr>
    </w:lvl>
  </w:abstractNum>
  <w:abstractNum w:abstractNumId="2">
    <w:nsid w:val="197D79D2"/>
    <w:multiLevelType w:val="multilevel"/>
    <w:tmpl w:val="197D79D2"/>
    <w:lvl w:ilvl="0" w:tentative="0">
      <w:start w:val="1"/>
      <w:numFmt w:val="chineseCountingThousand"/>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2100"/>
        </w:tabs>
        <w:ind w:left="2100" w:hanging="42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F00F7B2"/>
    <w:multiLevelType w:val="singleLevel"/>
    <w:tmpl w:val="1F00F7B2"/>
    <w:lvl w:ilvl="0" w:tentative="0">
      <w:start w:val="2"/>
      <w:numFmt w:val="decimal"/>
      <w:suff w:val="nothing"/>
      <w:lvlText w:val="%1．"/>
      <w:lvlJc w:val="left"/>
    </w:lvl>
  </w:abstractNum>
  <w:abstractNum w:abstractNumId="4">
    <w:nsid w:val="7DECFAE5"/>
    <w:multiLevelType w:val="singleLevel"/>
    <w:tmpl w:val="7DECFAE5"/>
    <w:lvl w:ilvl="0" w:tentative="0">
      <w:start w:val="1"/>
      <w:numFmt w:val="decimal"/>
      <w:lvlText w:val="[%1]"/>
      <w:lvlJc w:val="left"/>
      <w:pPr>
        <w:tabs>
          <w:tab w:val="left" w:pos="312"/>
        </w:tabs>
      </w:pPr>
    </w:lvl>
  </w:abstractNum>
  <w:num w:numId="1">
    <w:abstractNumId w:val="1"/>
  </w:num>
  <w:num w:numId="2">
    <w:abstractNumId w:val="3"/>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0F33FE"/>
    <w:rsid w:val="00040129"/>
    <w:rsid w:val="000627E9"/>
    <w:rsid w:val="00094532"/>
    <w:rsid w:val="000D2FAE"/>
    <w:rsid w:val="000F33FE"/>
    <w:rsid w:val="00110002"/>
    <w:rsid w:val="00145DB6"/>
    <w:rsid w:val="00147C35"/>
    <w:rsid w:val="00150E38"/>
    <w:rsid w:val="00171252"/>
    <w:rsid w:val="001E4CB8"/>
    <w:rsid w:val="001F6682"/>
    <w:rsid w:val="00203CF4"/>
    <w:rsid w:val="002712BB"/>
    <w:rsid w:val="003160A6"/>
    <w:rsid w:val="00346D48"/>
    <w:rsid w:val="003E2A6A"/>
    <w:rsid w:val="004868DC"/>
    <w:rsid w:val="004A7B8F"/>
    <w:rsid w:val="004D79FF"/>
    <w:rsid w:val="00502FBD"/>
    <w:rsid w:val="00562E26"/>
    <w:rsid w:val="005748F3"/>
    <w:rsid w:val="00577E22"/>
    <w:rsid w:val="005B5477"/>
    <w:rsid w:val="005C75CC"/>
    <w:rsid w:val="00647763"/>
    <w:rsid w:val="00656C86"/>
    <w:rsid w:val="006D6792"/>
    <w:rsid w:val="007B39CA"/>
    <w:rsid w:val="00887703"/>
    <w:rsid w:val="009C4949"/>
    <w:rsid w:val="009D499D"/>
    <w:rsid w:val="00A1575A"/>
    <w:rsid w:val="00A2269F"/>
    <w:rsid w:val="00A26845"/>
    <w:rsid w:val="00AF6868"/>
    <w:rsid w:val="00C111F8"/>
    <w:rsid w:val="00C167CF"/>
    <w:rsid w:val="00C20C2F"/>
    <w:rsid w:val="00CE46B7"/>
    <w:rsid w:val="00D407BA"/>
    <w:rsid w:val="00DF0D79"/>
    <w:rsid w:val="00DF469C"/>
    <w:rsid w:val="00E97EA0"/>
    <w:rsid w:val="00EA3A39"/>
    <w:rsid w:val="00F20604"/>
    <w:rsid w:val="00F360EA"/>
    <w:rsid w:val="00FF5CF5"/>
    <w:rsid w:val="019F5B17"/>
    <w:rsid w:val="0ADA093B"/>
    <w:rsid w:val="0F3D31E8"/>
    <w:rsid w:val="1D8F6A2D"/>
    <w:rsid w:val="23E04423"/>
    <w:rsid w:val="30ED0F84"/>
    <w:rsid w:val="3D0968B1"/>
    <w:rsid w:val="76691D07"/>
    <w:rsid w:val="7BD6643E"/>
    <w:rsid w:val="7EB51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Lines/>
      <w:pageBreakBefore/>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标题 1 Char"/>
    <w:basedOn w:val="10"/>
    <w:link w:val="2"/>
    <w:qFormat/>
    <w:uiPriority w:val="0"/>
    <w:rPr>
      <w:rFonts w:ascii="Times New Roman" w:hAnsi="Times New Roman" w:eastAsia="宋体" w:cs="Times New Roman"/>
      <w:b/>
      <w:bCs/>
      <w:kern w:val="44"/>
      <w:sz w:val="44"/>
      <w:szCs w:val="44"/>
    </w:rPr>
  </w:style>
  <w:style w:type="character" w:customStyle="1" w:styleId="12">
    <w:name w:val="标题 2 Char"/>
    <w:basedOn w:val="10"/>
    <w:link w:val="3"/>
    <w:qFormat/>
    <w:uiPriority w:val="0"/>
    <w:rPr>
      <w:rFonts w:ascii="Arial" w:hAnsi="Arial" w:eastAsia="黑体" w:cs="Times New Roman"/>
      <w:b/>
      <w:bCs/>
      <w:sz w:val="32"/>
      <w:szCs w:val="32"/>
    </w:rPr>
  </w:style>
  <w:style w:type="character" w:customStyle="1" w:styleId="13">
    <w:name w:val="页眉 Char"/>
    <w:basedOn w:val="10"/>
    <w:link w:val="6"/>
    <w:qFormat/>
    <w:uiPriority w:val="99"/>
    <w:rPr>
      <w:rFonts w:ascii="Times New Roman" w:hAnsi="Times New Roman" w:eastAsia="宋体" w:cs="Times New Roman"/>
      <w:sz w:val="18"/>
      <w:szCs w:val="18"/>
    </w:rPr>
  </w:style>
  <w:style w:type="character" w:customStyle="1" w:styleId="14">
    <w:name w:val="页脚 Char"/>
    <w:basedOn w:val="10"/>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1271</Words>
  <Characters>1588</Characters>
  <Lines>4</Lines>
  <Paragraphs>1</Paragraphs>
  <TotalTime>9</TotalTime>
  <ScaleCrop>false</ScaleCrop>
  <LinksUpToDate>false</LinksUpToDate>
  <CharactersWithSpaces>1634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2021-09-15T17:24:00Z</dcterms:created>
  <dc:creator>Rjxy</dc:creator>
  <cp:lastModifiedBy>LYN白子</cp:lastModifiedBy>
  <dcterms:modified xsi:type="dcterms:W3CDTF">2022-03-21T13:41:49Z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9F683EDBAF2249FC90DE34441492F929</vt:lpwstr>
  </property>
</Properties>
</file>