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531"/>
      </w:pPr>
      <w:r>
        <w:rPr>
          <w:rFonts w:ascii="PingFang TC Semibold" w:hAnsi="PingFang TC Semibold" w:cs="PingFang TC Semibold"/>
          <w:sz w:val="64"/>
          <w:sz-cs w:val="64"/>
          <w:b/>
          <w:spacing w:val="0"/>
          <w:color w:val="1A1A1A"/>
        </w:rPr>
        <w:t xml:space="preserve">台灣 7-ELEVEN 價格策略與顧客知覺價值之行銷分析</w:t>
      </w:r>
    </w:p>
    <w:p>
      <w:pPr>
        <w:jc w:val="center"/>
        <w:spacing w:after="398"/>
      </w:pPr>
      <w:r>
        <w:rPr>
          <w:rFonts w:ascii="PingFang TC Semibold" w:hAnsi="PingFang TC Semibold" w:cs="PingFang TC Semibold"/>
          <w:sz w:val="48"/>
          <w:sz-cs w:val="48"/>
          <w:b/>
          <w:spacing w:val="0"/>
          <w:color w:val="1A1A1A"/>
        </w:rPr>
        <w:t xml:space="preserve">《行銷學原理》期末報告</w:t>
      </w:r>
    </w:p>
    <w:p>
      <w:pPr>
        <w:jc w:val="center"/>
        <w:spacing w:after="373"/>
      </w:pPr>
      <w:r>
        <w:rPr>
          <w:rFonts w:ascii="PingFang TC" w:hAnsi="PingFang TC" w:cs="PingFang TC"/>
          <w:sz w:val="37"/>
          <w:sz-cs w:val="37"/>
          <w:spacing w:val="0"/>
          <w:color w:val="1A1A1A"/>
        </w:rPr>
        <w:t xml:space="preserve">姓名：吳曉琳</w:t>
      </w:r>
    </w:p>
    <w:p>
      <w:pPr>
        <w:jc w:val="center"/>
        <w:spacing w:after="373"/>
      </w:pPr>
      <w:r>
        <w:rPr>
          <w:rFonts w:ascii="PingFang TC" w:hAnsi="PingFang TC" w:cs="PingFang TC"/>
          <w:sz w:val="37"/>
          <w:sz-cs w:val="37"/>
          <w:spacing w:val="0"/>
          <w:color w:val="1A1A1A"/>
        </w:rPr>
        <w:t xml:space="preserve">學號：81406104</w:t>
      </w:r>
    </w:p>
    <w:p>
      <w:pPr>
        <w:jc w:val="center"/>
        <w:spacing w:after="800"/>
      </w:pPr>
      <w:r>
        <w:rPr>
          <w:rFonts w:ascii="PingFang TC Semibold" w:hAnsi="PingFang TC Semibold" w:cs="PingFang TC Semibold"/>
          <w:sz w:val="53"/>
          <w:sz-cs w:val="53"/>
          <w:b/>
          <w:spacing w:val="0"/>
          <w:color w:val="1A1A1A"/>
        </w:rPr>
        <w:t xml:space="preserve">目錄</w:t>
      </w:r>
    </w:p>
    <w:p>
      <w:pPr>
        <w:ind w:left="720" w:first-line="-720"/>
      </w:pPr>
      <w:r>
        <w:rPr>
          <w:rFonts w:ascii="PingFang TC" w:hAnsi="PingFang TC" w:cs="PingFang TC"/>
          <w:sz w:val="32"/>
          <w:sz-cs w:val="32"/>
          <w:color w:val="1A1A1A"/>
        </w:rPr>
        <w:t xml:space="preserve"/>
        <w:tab/>
        <w:t xml:space="preserve">.</w:t>
        <w:tab/>
        <w:t xml:space="preserve"/>
      </w:r>
      <w:r>
        <w:rPr>
          <w:rFonts w:ascii="PingFang TC" w:hAnsi="PingFang TC" w:cs="PingFang TC"/>
          <w:sz w:val="32"/>
          <w:sz-cs w:val="32"/>
          <w:spacing w:val="0"/>
          <w:color w:val="1A1A1A"/>
        </w:rPr>
        <w:t xml:space="preserve"/>
      </w:r>
    </w:p>
    <w:p>
      <w:pPr>
        <w:jc w:val="center"/>
        <w:spacing w:after="384"/>
      </w:pPr>
      <w:r>
        <w:rPr>
          <w:rFonts w:ascii="PingFang TC Semibold" w:hAnsi="PingFang TC Semibold" w:cs="PingFang TC Semibold"/>
          <w:sz w:val="48"/>
          <w:sz-cs w:val="48"/>
          <w:b/>
          <w:spacing w:val="0"/>
          <w:color w:val="1A1A1A"/>
        </w:rPr>
        <w:t xml:space="preserve">第一章 緒論</w:t>
      </w:r>
    </w:p>
    <w:p>
      <w:pPr>
        <w:spacing w:after="186"/>
      </w:pPr>
      <w:r>
        <w:rPr>
          <w:rFonts w:ascii="PingFang TC Semibold" w:hAnsi="PingFang TC Semibold" w:cs="PingFang TC Semibold"/>
          <w:sz w:val="37"/>
          <w:sz-cs w:val="37"/>
          <w:b/>
          <w:spacing w:val="0"/>
          <w:color w:val="1A1A1A"/>
        </w:rPr>
        <w:t xml:space="preserve">1.1 研究背景與動機</w:t>
      </w:r>
    </w:p>
    <w:p>
      <w:pPr>
        <w:jc w:val="both"/>
        <w:ind w:first-line="640"/>
        <w:spacing w:after="256"/>
      </w:pPr>
      <w:r>
        <w:rPr>
          <w:rFonts w:ascii="PingFang TC" w:hAnsi="PingFang TC" w:cs="PingFang TC"/>
          <w:sz w:val="32"/>
          <w:sz-cs w:val="32"/>
          <w:spacing w:val="0"/>
          <w:color w:val="1A1A1A"/>
        </w:rPr>
        <w:t xml:space="preserve">價格是消費者評估商品與服務時的重要線索，也是企業安排促銷及市場溝通的行銷工具。零售通路呈現的價格利益，可能不只包括商品標價或短期折價，也可能透過多件優惠、會員回饋、點數折抵、數位優惠及訂閱方案等方式提供。不同方案同時附有適用商品、期間、資格、購買數量或使用流程等條件，因此分析價格策略時，除了辨識優惠內容，也需要整理顧客取得優惠可能需要付出的金錢、時間與操作成本。</w:t>
      </w:r>
    </w:p>
    <w:p>
      <w:pPr>
        <w:jc w:val="both"/>
        <w:ind w:first-line="640"/>
        <w:spacing w:after="256"/>
      </w:pPr>
      <w:r>
        <w:rPr>
          <w:rFonts w:ascii="PingFang TC" w:hAnsi="PingFang TC" w:cs="PingFang TC"/>
          <w:sz w:val="32"/>
          <w:sz-cs w:val="32"/>
          <w:spacing w:val="0"/>
          <w:color w:val="1A1A1A"/>
        </w:rPr>
        <w:t xml:space="preserve">本研究以台灣 7-ELEVEN 為個案，原因是目前蒐集的官方資料涵蓋商品促銷、會員制度、OPENPOINT、數位服務與 PRIMA 等面向，適合用來觀察價格利益如何與會員及服務條件並存。這項選擇是為了進行行銷個案分析，不代表預先認定相關措施有效。顧客知覺價值涉及消費者對所得與付出的主觀評估；官方公告能說明企業提供哪些方案及其規則，卻不能單獨證明消費者實際如何感受。基於此，本研究將區分官方事實、理論解釋與研究者分析，並把現有證據無法回答的部分明確列出。</w:t>
      </w:r>
    </w:p>
    <w:p>
      <w:pPr>
        <w:spacing w:after="186"/>
      </w:pPr>
      <w:r>
        <w:rPr>
          <w:rFonts w:ascii="PingFang TC Semibold" w:hAnsi="PingFang TC Semibold" w:cs="PingFang TC Semibold"/>
          <w:sz w:val="37"/>
          <w:sz-cs w:val="37"/>
          <w:b/>
          <w:spacing w:val="0"/>
          <w:color w:val="1A1A1A"/>
        </w:rPr>
        <w:t xml:space="preserve">1.2 研究目的</w:t>
      </w:r>
    </w:p>
    <w:p>
      <w:pPr>
        <w:jc w:val="both"/>
        <w:ind w:first-line="640"/>
        <w:spacing w:after="256"/>
      </w:pPr>
      <w:r>
        <w:rPr>
          <w:rFonts w:ascii="PingFang TC" w:hAnsi="PingFang TC" w:cs="PingFang TC"/>
          <w:sz w:val="32"/>
          <w:sz-cs w:val="32"/>
          <w:spacing w:val="0"/>
          <w:color w:val="1A1A1A"/>
        </w:rPr>
        <w:t xml:space="preserve">本研究目的有三：第一，整理專案已確認的 7-ELEVEN 官方價格促銷、商品組合、點數、會員優惠、APP／數位服務及訂閱方案資料，並保留來源日期與適用條件。第二，運用行銷學理論分析各方案可能呈現的顧客利益，以及取得利益時可能承擔的價格、數量、資格、期限或操作成本。第三，檢視現有公開資料的證據範圍，說明哪些內容可以描述或作理論分析，哪些涉及顧客感受、購買行為與因果效果而尚無法確認。</w:t>
      </w:r>
    </w:p>
    <w:p>
      <w:pPr>
        <w:spacing w:after="186"/>
      </w:pPr>
      <w:r>
        <w:rPr>
          <w:rFonts w:ascii="PingFang TC Semibold" w:hAnsi="PingFang TC Semibold" w:cs="PingFang TC Semibold"/>
          <w:sz w:val="37"/>
          <w:sz-cs w:val="37"/>
          <w:b/>
          <w:spacing w:val="0"/>
          <w:color w:val="1A1A1A"/>
        </w:rPr>
        <w:t xml:space="preserve">1.3 研究問題</w:t>
      </w:r>
    </w:p>
    <w:p>
      <w:pPr>
        <w:jc w:val="both"/>
        <w:ind w:first-line="640"/>
        <w:spacing w:after="256"/>
      </w:pPr>
      <w:r>
        <w:rPr>
          <w:rFonts w:ascii="PingFang TC" w:hAnsi="PingFang TC" w:cs="PingFang TC"/>
          <w:sz w:val="32"/>
          <w:sz-cs w:val="32"/>
          <w:spacing w:val="0"/>
          <w:color w:val="1A1A1A"/>
        </w:rPr>
        <w:t xml:space="preserve">本研究依序探討：</w:t>
      </w:r>
    </w:p>
    <w:p>
      <w:pPr>
        <w:ind w:left="720" w:first-line="-720"/>
        <w:spacing w:after="80"/>
      </w:pPr>
      <w:r>
        <w:rPr>
          <w:rFonts w:ascii="PingFang TC" w:hAnsi="PingFang TC" w:cs="PingFang TC"/>
          <w:sz w:val="32"/>
          <w:sz-cs w:val="32"/>
          <w:color w:val="1A1A1A"/>
        </w:rPr>
        <w:t xml:space="preserve"/>
        <w:tab/>
        <w:t xml:space="preserve">1.</w:t>
        <w:tab/>
        <w:t xml:space="preserve"/>
      </w:r>
      <w:r>
        <w:rPr>
          <w:rFonts w:ascii="PingFang TC" w:hAnsi="PingFang TC" w:cs="PingFang TC"/>
          <w:sz w:val="32"/>
          <w:sz-cs w:val="32"/>
          <w:spacing w:val="0"/>
          <w:color w:val="1A1A1A"/>
        </w:rPr>
        <w:t xml:space="preserve">目前官方資料呈現哪些商品價格促銷、組合商品及優惠形式？</w:t>
      </w:r>
    </w:p>
    <w:p>
      <w:pPr>
        <w:ind w:left="720" w:first-line="-720"/>
        <w:spacing w:after="80"/>
      </w:pPr>
      <w:r>
        <w:rPr>
          <w:rFonts w:ascii="PingFang TC" w:hAnsi="PingFang TC" w:cs="PingFang TC"/>
          <w:sz w:val="32"/>
          <w:sz-cs w:val="32"/>
          <w:color w:val="1A1A1A"/>
        </w:rPr>
        <w:t xml:space="preserve"/>
        <w:tab/>
        <w:t xml:space="preserve">2.</w:t>
        <w:tab/>
        <w:t xml:space="preserve"/>
      </w:r>
      <w:r>
        <w:rPr>
          <w:rFonts w:ascii="PingFang TC" w:hAnsi="PingFang TC" w:cs="PingFang TC"/>
          <w:sz w:val="32"/>
          <w:sz-cs w:val="32"/>
          <w:spacing w:val="0"/>
          <w:color w:val="1A1A1A"/>
        </w:rPr>
        <w:t xml:space="preserve">這些方案包含哪些可辨識的可能利益，以及顧客須承擔哪些金錢、時間或使用條件？</w:t>
      </w:r>
    </w:p>
    <w:p>
      <w:pPr>
        <w:ind w:left="720" w:first-line="-720"/>
        <w:spacing w:after="80"/>
      </w:pPr>
      <w:r>
        <w:rPr>
          <w:rFonts w:ascii="PingFang TC" w:hAnsi="PingFang TC" w:cs="PingFang TC"/>
          <w:sz w:val="32"/>
          <w:sz-cs w:val="32"/>
          <w:color w:val="1A1A1A"/>
        </w:rPr>
        <w:t xml:space="preserve"/>
        <w:tab/>
        <w:t xml:space="preserve">3.</w:t>
        <w:tab/>
        <w:t xml:space="preserve"/>
      </w:r>
      <w:r>
        <w:rPr>
          <w:rFonts w:ascii="PingFang TC" w:hAnsi="PingFang TC" w:cs="PingFang TC"/>
          <w:sz w:val="32"/>
          <w:sz-cs w:val="32"/>
          <w:spacing w:val="0"/>
          <w:color w:val="1A1A1A"/>
        </w:rPr>
        <w:t xml:space="preserve">OPENPOINT、會員優惠、APP／數位服務與 PRIMA 如何連結價格利益及使用條件？</w:t>
      </w:r>
    </w:p>
    <w:p>
      <w:pPr>
        <w:ind w:left="720" w:first-line="-720"/>
        <w:spacing w:after="80"/>
      </w:pPr>
      <w:r>
        <w:rPr>
          <w:rFonts w:ascii="PingFang TC" w:hAnsi="PingFang TC" w:cs="PingFang TC"/>
          <w:sz w:val="32"/>
          <w:sz-cs w:val="32"/>
          <w:color w:val="1A1A1A"/>
        </w:rPr>
        <w:t xml:space="preserve"/>
        <w:tab/>
        <w:t xml:space="preserve">4.</w:t>
        <w:tab/>
        <w:t xml:space="preserve"/>
      </w:r>
      <w:r>
        <w:rPr>
          <w:rFonts w:ascii="PingFang TC" w:hAnsi="PingFang TC" w:cs="PingFang TC"/>
          <w:sz w:val="32"/>
          <w:sz-cs w:val="32"/>
          <w:spacing w:val="0"/>
          <w:color w:val="1A1A1A"/>
        </w:rPr>
        <w:t xml:space="preserve">現有資料可如何分析便利性與價格的關係？</w:t>
      </w:r>
    </w:p>
    <w:p>
      <w:pPr>
        <w:ind w:left="720" w:first-line="-720"/>
        <w:spacing w:after="80"/>
      </w:pPr>
      <w:r>
        <w:rPr>
          <w:rFonts w:ascii="PingFang TC" w:hAnsi="PingFang TC" w:cs="PingFang TC"/>
          <w:sz w:val="32"/>
          <w:sz-cs w:val="32"/>
          <w:color w:val="1A1A1A"/>
        </w:rPr>
        <w:t xml:space="preserve"/>
        <w:tab/>
        <w:t xml:space="preserve">5.</w:t>
        <w:tab/>
        <w:t xml:space="preserve"/>
      </w:r>
      <w:r>
        <w:rPr>
          <w:rFonts w:ascii="PingFang TC" w:hAnsi="PingFang TC" w:cs="PingFang TC"/>
          <w:sz w:val="32"/>
          <w:sz-cs w:val="32"/>
          <w:spacing w:val="0"/>
          <w:color w:val="1A1A1A"/>
        </w:rPr>
        <w:t xml:space="preserve">目前資料能否支持對顧客知覺價值、價格公平、購買意願、忠誠或促銷效果的判斷？</w:t>
      </w:r>
    </w:p>
    <w:p>
      <w:pPr>
        <w:jc w:val="both"/>
        <w:ind w:first-line="640"/>
        <w:spacing w:after="256"/>
      </w:pPr>
      <w:r>
        <w:rPr>
          <w:rFonts w:ascii="PingFang TC" w:hAnsi="PingFang TC" w:cs="PingFang TC"/>
          <w:sz w:val="32"/>
          <w:sz-cs w:val="32"/>
          <w:spacing w:val="0"/>
          <w:color w:val="1A1A1A"/>
        </w:rPr>
        <w:t xml:space="preserve">第五題著重檢視證據能力，不預設消費者反應或促銷成效。若資料無法支持判斷，將說明「目前證據不足」。</w:t>
      </w:r>
    </w:p>
    <w:p>
      <w:pPr>
        <w:spacing w:after="186"/>
      </w:pPr>
      <w:r>
        <w:rPr>
          <w:rFonts w:ascii="PingFang TC Semibold" w:hAnsi="PingFang TC Semibold" w:cs="PingFang TC Semibold"/>
          <w:sz w:val="37"/>
          <w:sz-cs w:val="37"/>
          <w:b/>
          <w:spacing w:val="0"/>
          <w:color w:val="1A1A1A"/>
        </w:rPr>
        <w:t xml:space="preserve">1.4 研究方法與資料來源</w:t>
      </w:r>
    </w:p>
    <w:p>
      <w:pPr>
        <w:jc w:val="both"/>
        <w:ind w:first-line="640"/>
        <w:spacing w:after="256"/>
      </w:pPr>
      <w:r>
        <w:rPr>
          <w:rFonts w:ascii="PingFang TC" w:hAnsi="PingFang TC" w:cs="PingFang TC"/>
          <w:sz w:val="32"/>
          <w:sz-cs w:val="32"/>
          <w:spacing w:val="0"/>
          <w:color w:val="1A1A1A"/>
        </w:rPr>
        <w:t xml:space="preserve">本研究採個案分析與文件分析，以專案已整理並確認的官方資料及學術文獻為主要材料。企業與營運背景、促銷活動、會員制度及數位服務，以統一超商／7-ELEVEN 官方網站、投資人關係資料、年報、公告與 OPENPOINT／uniopen 官方資訊為優先；理論分析則依專案整理的學術來源。使用資料時記錄來源名稱、發布單位、日期或活動期間、網址及用途，並依來源原文保留數字口徑與使用條件。若官方資料日期、定義或數值不同，不自行合併或選定，而標示差異及待確認事項。</w:t>
      </w:r>
    </w:p>
    <w:p>
      <w:pPr>
        <w:jc w:val="both"/>
        <w:ind w:first-line="640"/>
        <w:spacing w:after="256"/>
      </w:pPr>
      <w:r>
        <w:rPr>
          <w:rFonts w:ascii="PingFang TC" w:hAnsi="PingFang TC" w:cs="PingFang TC"/>
          <w:sz w:val="32"/>
          <w:sz-cs w:val="32"/>
          <w:spacing w:val="0"/>
          <w:color w:val="1A1A1A"/>
        </w:rPr>
        <w:t xml:space="preserve">分析時先陳述來源直接支持的「官方事實」，再以顧客知覺價值、促銷利益等理論作「理論解釋」，最後將超出來源明示內容的判斷標為「研究者分析／推論」。本研究不使用問卷，也不自行建立消費者資料；研究者仍須核對來源並判斷最終解讀。</w:t>
      </w:r>
    </w:p>
    <w:p>
      <w:pPr>
        <w:spacing w:after="186"/>
      </w:pPr>
      <w:r>
        <w:rPr>
          <w:rFonts w:ascii="PingFang TC Semibold" w:hAnsi="PingFang TC Semibold" w:cs="PingFang TC Semibold"/>
          <w:sz w:val="37"/>
          <w:sz-cs w:val="37"/>
          <w:b/>
          <w:spacing w:val="0"/>
          <w:color w:val="1A1A1A"/>
        </w:rPr>
        <w:t xml:space="preserve">1.5 研究範圍與限制</w:t>
      </w:r>
    </w:p>
    <w:p>
      <w:pPr>
        <w:jc w:val="both"/>
        <w:ind w:first-line="640"/>
        <w:spacing w:after="256"/>
      </w:pPr>
      <w:r>
        <w:rPr>
          <w:rFonts w:ascii="PingFang TC" w:hAnsi="PingFang TC" w:cs="PingFang TC"/>
          <w:sz w:val="32"/>
          <w:sz-cs w:val="32"/>
          <w:spacing w:val="0"/>
          <w:color w:val="1A1A1A"/>
        </w:rPr>
        <w:t xml:space="preserve">研究個案限於台灣 7-ELEVEN 及已蒐集的統一超商官方公開資料，分析焦點為價格呈現、促銷、商品組合、OPENPOINT、會員優惠、數位服務、PRIMA，以及這些方案與可能利益和成本的關係。促銷價格僅代表來源所載活動及其期限，不能代替一般商品價格；不同時間、商品、店別或資格的資料也不視為直接可比。</w:t>
      </w:r>
    </w:p>
    <w:p>
      <w:pPr>
        <w:jc w:val="both"/>
        <w:ind w:first-line="640"/>
        <w:spacing w:after="256"/>
      </w:pPr>
      <w:r>
        <w:rPr>
          <w:rFonts w:ascii="PingFang TC" w:hAnsi="PingFang TC" w:cs="PingFang TC"/>
          <w:sz w:val="32"/>
          <w:sz-cs w:val="32"/>
          <w:spacing w:val="0"/>
          <w:color w:val="1A1A1A"/>
        </w:rPr>
        <w:t xml:space="preserve">本研究沒有消費者問卷、訪談或個別交易資料，且缺少完整一般商品價格與一致的原價、促銷價比較。因此無法確認顧客實際知覺價值、價格公平感、購買意願、忠誠或消費行為，也無法證明優惠造成銷售或行為改變。官方會員規模、服務說明或企業彙總指標，不等於消費者感受或忠誠度證據。遇有資料不足、口徑不同或條件不明，本文保留限制，不自行補足。</w:t>
      </w:r>
    </w:p>
    <w:p>
      <w:pPr>
        <w:spacing w:after="186"/>
      </w:pPr>
      <w:r>
        <w:rPr>
          <w:rFonts w:ascii="PingFang TC Semibold" w:hAnsi="PingFang TC Semibold" w:cs="PingFang TC Semibold"/>
          <w:sz w:val="37"/>
          <w:sz-cs w:val="37"/>
          <w:b/>
          <w:spacing w:val="0"/>
          <w:color w:val="1A1A1A"/>
        </w:rPr>
        <w:t xml:space="preserve">1.6 研究架構</w:t>
      </w:r>
    </w:p>
    <w:p>
      <w:pPr>
        <w:jc w:val="both"/>
        <w:ind w:first-line="640"/>
        <w:spacing w:after="256"/>
      </w:pPr>
      <w:r>
        <w:rPr>
          <w:rFonts w:ascii="PingFang TC" w:hAnsi="PingFang TC" w:cs="PingFang TC"/>
          <w:sz w:val="32"/>
          <w:sz-cs w:val="32"/>
          <w:spacing w:val="0"/>
          <w:color w:val="1A1A1A"/>
        </w:rPr>
        <w:t xml:space="preserve">全文依序展開：第二章說明顧客知覺價值、PERVAL 與促銷利益等理論，並界定其作為分析工具的範圍；第三章介紹個案企業、通路、會員及數位服務背景；第四章整理指定商品促銷、限時特價、多件或第二件優惠、組合商品及購買條件；第五章分析 OPENPOINT、會員優惠、APP／數位優惠與 PRIMA 所呈現的可能利益、成本及知覺價值連結；第六章歸納研究發現、理論意涵、研究者建議與研究限制。各章均以「官方事實—理論解釋—研究者分析」為判讀順序。本文的利益與成本架構用來整理個案資料，不是已驗證的消費者心理因果模型。</w:t>
      </w:r>
    </w:p>
    <w:p>
      <w:pPr>
        <w:jc w:val="center"/>
        <w:spacing w:after="384"/>
      </w:pPr>
      <w:r>
        <w:rPr>
          <w:rFonts w:ascii="PingFang TC Semibold" w:hAnsi="PingFang TC Semibold" w:cs="PingFang TC Semibold"/>
          <w:sz w:val="48"/>
          <w:sz-cs w:val="48"/>
          <w:b/>
          <w:spacing w:val="0"/>
          <w:color w:val="1A1A1A"/>
        </w:rPr>
        <w:t xml:space="preserve">第二章 行銷學理論</w:t>
      </w:r>
    </w:p>
    <w:p>
      <w:pPr>
        <w:jc w:val="both"/>
        <w:ind w:first-line="640"/>
        <w:spacing w:after="256"/>
      </w:pPr>
      <w:r>
        <w:rPr>
          <w:rFonts w:ascii="PingFang TC" w:hAnsi="PingFang TC" w:cs="PingFang TC"/>
          <w:sz w:val="32"/>
          <w:sz-cs w:val="32"/>
          <w:spacing w:val="0"/>
          <w:color w:val="1A1A1A"/>
        </w:rPr>
        <w:t xml:space="preserve">本章建立後續分析台灣 7-ELEVEN 價格促銷、會員優惠與顧客知覺價值的理論架構。理論用來整理官方資料及提出可能的解讀，不是個案的消費者調查結果。本文所稱「可能利益」與「可能成本」是分析分類；除非另有直接證據，不代表顧客已經感受到或認同該利益。</w:t>
      </w:r>
    </w:p>
    <w:p>
      <w:pPr>
        <w:spacing w:after="186"/>
      </w:pPr>
      <w:r>
        <w:rPr>
          <w:rFonts w:ascii="PingFang TC Semibold" w:hAnsi="PingFang TC Semibold" w:cs="PingFang TC Semibold"/>
          <w:sz w:val="37"/>
          <w:sz-cs w:val="37"/>
          <w:b/>
          <w:spacing w:val="0"/>
          <w:color w:val="1A1A1A"/>
        </w:rPr>
        <w:t xml:space="preserve">2.1 價格與顧客知覺價值</w:t>
      </w:r>
    </w:p>
    <w:p>
      <w:pPr>
        <w:jc w:val="both"/>
        <w:ind w:first-line="640"/>
        <w:spacing w:after="256"/>
      </w:pPr>
      <w:r>
        <w:rPr>
          <w:rFonts w:ascii="PingFang TC" w:hAnsi="PingFang TC" w:cs="PingFang TC"/>
          <w:sz w:val="32"/>
          <w:sz-cs w:val="32"/>
          <w:spacing w:val="0"/>
          <w:color w:val="1A1A1A"/>
        </w:rPr>
        <w:t xml:space="preserve">Zeithaml（1988）將顧客知覺價值說明為消費者對產品效用的整體評估，這項評估依據消費者認為自己「得到什麼」以及「付出什麼」。因此，價格不是價值的唯一來源。消費者可能把價值理解為低價、取得想要的利益、相對於價格所獲得的品質，或整體所得與所付之間的權衡。不同消費者或不同消費情境，也可能採取不同的價值判斷方式。</w:t>
      </w:r>
    </w:p>
    <w:p>
      <w:pPr>
        <w:jc w:val="both"/>
        <w:ind w:first-line="640"/>
        <w:spacing w:after="256"/>
      </w:pPr>
      <w:r>
        <w:rPr>
          <w:rFonts w:ascii="PingFang TC" w:hAnsi="PingFang TC" w:cs="PingFang TC"/>
          <w:sz w:val="32"/>
          <w:sz-cs w:val="32"/>
          <w:spacing w:val="0"/>
          <w:color w:val="1A1A1A"/>
        </w:rPr>
        <w:t xml:space="preserve">這個觀點有助於本研究避免只看優惠金額。分析 7-ELEVEN 的官方活動時，可先記錄優惠提供什麼，再整理取得優惠所需的價格、資格、數量或使用條件。這樣可以說明官方資料呈現哪些價值線索，但僅憑活動公告無法知道個別顧客如何衡量所得與付出，也不能直接判定某一方案對消費者而言「划算」。</w:t>
      </w:r>
    </w:p>
    <w:p>
      <w:pPr>
        <w:spacing w:after="186"/>
      </w:pPr>
      <w:r>
        <w:rPr>
          <w:rFonts w:ascii="PingFang TC Semibold" w:hAnsi="PingFang TC Semibold" w:cs="PingFang TC Semibold"/>
          <w:sz w:val="37"/>
          <w:sz-cs w:val="37"/>
          <w:b/>
          <w:spacing w:val="0"/>
          <w:color w:val="1A1A1A"/>
        </w:rPr>
        <w:t xml:space="preserve">2.2 顧客價值的多面向</w:t>
      </w:r>
    </w:p>
    <w:p>
      <w:pPr>
        <w:jc w:val="both"/>
        <w:ind w:first-line="640"/>
        <w:spacing w:after="256"/>
      </w:pPr>
      <w:r>
        <w:rPr>
          <w:rFonts w:ascii="PingFang TC" w:hAnsi="PingFang TC" w:cs="PingFang TC"/>
          <w:sz w:val="32"/>
          <w:sz-cs w:val="32"/>
          <w:spacing w:val="0"/>
          <w:color w:val="1A1A1A"/>
        </w:rPr>
        <w:t xml:space="preserve">Sweeney 與 Soutar（2001）發展的 PERVAL，是用來衡量消費者對耐久消費品品牌知覺價值的 19 題量表，包含品質／效能、價格／物有所值、情感及社會四個構面。這個架構指出，顧客價值可能不只關於支付多少錢，也可能涉及產品表現、情感反應或社會意義。PERVAL 是特定研究情境下建立的衡量工具，不表示所有產品與服務均能不經調整而直接套用同一量表。</w:t>
      </w:r>
    </w:p>
    <w:p>
      <w:pPr>
        <w:jc w:val="both"/>
        <w:ind w:first-line="640"/>
        <w:spacing w:after="256"/>
      </w:pPr>
      <w:r>
        <w:rPr>
          <w:rFonts w:ascii="PingFang TC" w:hAnsi="PingFang TC" w:cs="PingFang TC"/>
          <w:sz w:val="32"/>
          <w:sz-cs w:val="32"/>
          <w:spacing w:val="0"/>
          <w:color w:val="1A1A1A"/>
        </w:rPr>
        <w:t xml:space="preserve">本研究可將這四個構面作為整理個案資料時的參考。例如，活動列明的價格與點數可歸入價格／物有所值的分析方向；商品或服務資訊可用來描述可能的品質／效能線索；其他構面則須有相應資料才能討論，不能因為企業舉辦活動就推定顧客產生情感或社會價值。本研究沒有進行 PERVAL 問卷調查，因此不會計算量表分數，也不能據此證明台灣 7-ELEVEN 顧客實際知覺價值的高低。此處使用的是理論分類，而非量表測量結果。</w:t>
      </w:r>
    </w:p>
    <w:p>
      <w:pPr>
        <w:spacing w:after="186"/>
      </w:pPr>
      <w:r>
        <w:rPr>
          <w:rFonts w:ascii="PingFang TC Semibold" w:hAnsi="PingFang TC Semibold" w:cs="PingFang TC Semibold"/>
          <w:sz w:val="37"/>
          <w:sz-cs w:val="37"/>
          <w:b/>
          <w:spacing w:val="0"/>
          <w:color w:val="1A1A1A"/>
        </w:rPr>
        <w:t xml:space="preserve">2.3 促銷與消費者利益</w:t>
      </w:r>
    </w:p>
    <w:p>
      <w:pPr>
        <w:jc w:val="both"/>
        <w:ind w:first-line="640"/>
        <w:spacing w:after="256"/>
      </w:pPr>
      <w:r>
        <w:rPr>
          <w:rFonts w:ascii="PingFang TC" w:hAnsi="PingFang TC" w:cs="PingFang TC"/>
          <w:sz w:val="32"/>
          <w:sz-cs w:val="32"/>
          <w:spacing w:val="0"/>
          <w:color w:val="1A1A1A"/>
        </w:rPr>
        <w:t xml:space="preserve">Chandon、Wansink 與 Laurent（2000）提出的促銷利益架構，區分促銷可能提供的實用利益與享樂利益。實用利益例如節省支出、取得較高品質或讓購物更便利；享樂利益則可能包括探索、娛樂或自我表達。促銷方式與商品或消費情境相符程度，可作為分析促銷方案的方向。這套架構說明促銷利益可以有不同類型，並不保證每一種促銷都有效。</w:t>
      </w:r>
    </w:p>
    <w:p>
      <w:pPr>
        <w:jc w:val="both"/>
        <w:ind w:first-line="640"/>
        <w:spacing w:after="256"/>
      </w:pPr>
      <w:r>
        <w:rPr>
          <w:rFonts w:ascii="PingFang TC" w:hAnsi="PingFang TC" w:cs="PingFang TC"/>
          <w:sz w:val="32"/>
          <w:sz-cs w:val="32"/>
          <w:spacing w:val="0"/>
          <w:color w:val="1A1A1A"/>
        </w:rPr>
        <w:t xml:space="preserve">在本研究中，指定商品優惠、多件方案、點數回饋或數位優惠可依官方明示的內容，檢視它們可能提供哪類利益，以及消費者取得利益必須符合哪些規則。例如，價格折讓可作為可能的金錢利益線索；需要登入、指定支付或在期限內使用，則是活動條件。這些描述只能支持對方案設計的分類，不能證明消費者看見或使用了優惠，也不能單憑促銷推出推論購買意願、銷售或忠誠度增加。</w:t>
      </w:r>
    </w:p>
    <w:p>
      <w:pPr>
        <w:spacing w:after="186"/>
      </w:pPr>
      <w:r>
        <w:rPr>
          <w:rFonts w:ascii="PingFang TC Semibold" w:hAnsi="PingFang TC Semibold" w:cs="PingFang TC Semibold"/>
          <w:sz w:val="37"/>
          <w:sz-cs w:val="37"/>
          <w:b/>
          <w:spacing w:val="0"/>
          <w:color w:val="1A1A1A"/>
        </w:rPr>
        <w:t xml:space="preserve">2.4 價格策略與顧客成本</w:t>
      </w:r>
    </w:p>
    <w:p>
      <w:pPr>
        <w:jc w:val="both"/>
        <w:ind w:first-line="640"/>
        <w:spacing w:after="256"/>
      </w:pPr>
      <w:r>
        <w:rPr>
          <w:rFonts w:ascii="PingFang TC" w:hAnsi="PingFang TC" w:cs="PingFang TC"/>
          <w:sz w:val="32"/>
          <w:sz-cs w:val="32"/>
          <w:spacing w:val="0"/>
          <w:color w:val="1A1A1A"/>
        </w:rPr>
        <w:t xml:space="preserve">從知覺價值的所得／付出觀點來看，顧客付出不只包括商品價格，也可能涉及取得或使用方案時的其他條件。在本研究的資料整理中，可將明確標示的售價、訂閱費及購買門檻列為金錢成本；指定支付方式、會員資格、活動期限、點數效期及兌換限制則列為使用條件。操作所需時間、等待或使用上的不便，若官方資料未直接量化或消費者未提供回饋，只能標為研究者分析的可能成本，不能寫成顧客確實感受到的負擔。</w:t>
      </w:r>
    </w:p>
    <w:p>
      <w:pPr>
        <w:jc w:val="both"/>
        <w:ind w:first-line="640"/>
        <w:spacing w:after="256"/>
      </w:pPr>
      <w:r>
        <w:rPr>
          <w:rFonts w:ascii="PingFang TC" w:hAnsi="PingFang TC" w:cs="PingFang TC"/>
          <w:sz w:val="32"/>
          <w:sz-cs w:val="32"/>
          <w:spacing w:val="0"/>
          <w:color w:val="1A1A1A"/>
        </w:rPr>
        <w:t xml:space="preserve">本研究也須區分常態價格與促銷價格。官方活動頁若只列限定品項及優惠價，便只能證明該活動提供此價格，不能據此推定商品一般售價、企業的長期價格定位或內部定價方法。若缺乏相同商品規格與明確原價，也不應自行計算折扣率或節省金額。價格策略分析應依可取得的價格、期間和條件陳述，資料無法支持的部分明確保留。</w:t>
      </w:r>
    </w:p>
    <w:p>
      <w:pPr>
        <w:spacing w:after="186"/>
      </w:pPr>
      <w:r>
        <w:rPr>
          <w:rFonts w:ascii="PingFang TC Semibold" w:hAnsi="PingFang TC Semibold" w:cs="PingFang TC Semibold"/>
          <w:sz w:val="37"/>
          <w:sz-cs w:val="37"/>
          <w:b/>
          <w:spacing w:val="0"/>
          <w:color w:val="1A1A1A"/>
        </w:rPr>
        <w:t xml:space="preserve">2.5 本研究的理論分析架構</w:t>
      </w:r>
    </w:p>
    <w:p>
      <w:pPr>
        <w:jc w:val="both"/>
        <w:ind w:first-line="640"/>
        <w:spacing w:after="256"/>
      </w:pPr>
      <w:r>
        <w:rPr>
          <w:rFonts w:ascii="PingFang TC" w:hAnsi="PingFang TC" w:cs="PingFang TC"/>
          <w:sz w:val="32"/>
          <w:sz-cs w:val="32"/>
          <w:spacing w:val="0"/>
          <w:color w:val="1A1A1A"/>
        </w:rPr>
        <w:t xml:space="preserve">綜合上述理論，本研究以「官方價格或優惠方案—可能提供的利益—顧客可能付出的成本與條件—知覺價值的分析方向」作為整理個案資料的概念架構。分析第一步記錄官方資料明示的商品、價格、優惠內容、日期及資格；第二步依 Zeithaml 的所得／付出觀點整理可能的金錢、商品或服務利益；第三步列出價格、購買數量、訂閱費、支付資格、期限及兌換條件等付出；最後參照 PERVAL 的價值構面及 Chandon 等人的促銷利益類型，說明資料可以如何連結至行銷概念。</w:t>
      </w:r>
    </w:p>
    <w:p>
      <w:pPr>
        <w:jc w:val="both"/>
        <w:ind w:first-line="640"/>
        <w:spacing w:after="256"/>
      </w:pPr>
      <w:r>
        <w:rPr>
          <w:rFonts w:ascii="PingFang TC" w:hAnsi="PingFang TC" w:cs="PingFang TC"/>
          <w:sz w:val="32"/>
          <w:sz-cs w:val="32"/>
          <w:spacing w:val="0"/>
          <w:color w:val="1A1A1A"/>
        </w:rPr>
        <w:t xml:space="preserve">這個架構有助於保持分析步驟一致，也讓讀者分辨官方事實、理論解釋與研究者推論。若要從服務功能推想到便利利益，或從價格優惠推想到顧客覺得划算，須使用「可能」、「可視為分析線索」等保守措辭，並交代資料限制。由於本研究沒有消費者問卷、訪談或實際行為資料，上述架構只是整理和分析個案資料的概念工具，並非已經實證驗證的消費者心理因果模型；理論本身也不能證明 7-ELEVEN 顧客具有某種實際感受或行為。</w:t>
      </w:r>
    </w:p>
    <w:p>
      <w:pPr>
        <w:spacing w:after="186"/>
      </w:pPr>
      <w:r>
        <w:rPr>
          <w:rFonts w:ascii="PingFang TC Semibold" w:hAnsi="PingFang TC Semibold" w:cs="PingFang TC Semibold"/>
          <w:sz w:val="37"/>
          <w:sz-cs w:val="37"/>
          <w:b/>
          <w:spacing w:val="0"/>
          <w:color w:val="1A1A1A"/>
        </w:rPr>
        <w:t xml:space="preserve">2.6 本章小結</w:t>
      </w:r>
    </w:p>
    <w:p>
      <w:pPr>
        <w:jc w:val="both"/>
        <w:ind w:first-line="640"/>
        <w:spacing w:after="256"/>
      </w:pPr>
      <w:r>
        <w:rPr>
          <w:rFonts w:ascii="PingFang TC" w:hAnsi="PingFang TC" w:cs="PingFang TC"/>
          <w:sz w:val="32"/>
          <w:sz-cs w:val="32"/>
          <w:spacing w:val="0"/>
          <w:color w:val="1A1A1A"/>
        </w:rPr>
        <w:t xml:space="preserve">本章以 Zeithaml 的所得／付出觀點說明顧客知覺價值，以 PERVAL 作多構面分類參考，並以 Chandon 等人的架構整理促銷可能提供的利益。這些理論將用於分析 7-ELEVEN 公開資料中的價格、優惠、會員回饋與使用條件，不作為消費者反應或促銷效果的直接證據。後續章節將依此區分官方資料、理論解讀和研究者推論，並在資料不足時明確說明。</w:t>
      </w:r>
    </w:p>
    <w:p>
      <w:pPr>
        <w:jc w:val="center"/>
        <w:spacing w:after="384"/>
      </w:pPr>
      <w:r>
        <w:rPr>
          <w:rFonts w:ascii="PingFang TC Semibold" w:hAnsi="PingFang TC Semibold" w:cs="PingFang TC Semibold"/>
          <w:sz w:val="48"/>
          <w:sz-cs w:val="48"/>
          <w:b/>
          <w:spacing w:val="0"/>
          <w:color w:val="1A1A1A"/>
        </w:rPr>
        <w:t xml:space="preserve">第三章 7-ELEVEN 個案介紹</w:t>
      </w:r>
    </w:p>
    <w:p>
      <w:pPr>
        <w:spacing w:after="186"/>
      </w:pPr>
      <w:r>
        <w:rPr>
          <w:rFonts w:ascii="PingFang TC Semibold" w:hAnsi="PingFang TC Semibold" w:cs="PingFang TC Semibold"/>
          <w:sz w:val="37"/>
          <w:sz-cs w:val="37"/>
          <w:b/>
          <w:spacing w:val="0"/>
          <w:color w:val="1A1A1A"/>
        </w:rPr>
        <w:t xml:space="preserve">3.1 公司與通路背景</w:t>
      </w:r>
    </w:p>
    <w:p>
      <w:pPr>
        <w:jc w:val="both"/>
        <w:ind w:first-line="640"/>
        <w:spacing w:after="256"/>
      </w:pPr>
      <w:r>
        <w:rPr>
          <w:rFonts w:ascii="PingFang TC" w:hAnsi="PingFang TC" w:cs="PingFang TC"/>
          <w:sz w:val="32"/>
          <w:sz-cs w:val="32"/>
          <w:spacing w:val="0"/>
          <w:color w:val="1A1A1A"/>
        </w:rPr>
        <w:t xml:space="preserve">本研究以台灣 7-ELEVEN 為主要個案，並以統一超商股份有限公司公開資料作為企業與營運背景。統一超商投資人關係網站列示公司成立日期為 1987 年 6 月 10 日、股票代號 2912，主要業務包括超級商店經營及零售；統一超商永續網站則記載 1978 年統一企業集資成立統一超商。兩項資料的表述並不相同，目前尚未確認其定義差異，因此本研究保留來源原文，不自行認定單一成立年份。</w:t>
      </w:r>
      <w:r>
        <w:rPr>
          <w:rFonts w:ascii="PingFang TC" w:hAnsi="PingFang TC" w:cs="PingFang TC"/>
          <w:sz w:val="32"/>
          <w:sz-cs w:val="32"/>
          <w:u w:val="single"/>
          <w:spacing w:val="0"/>
          <w:color w:val="1A1A1A"/>
        </w:rPr>
        <w:t xml:space="preserve">公司簡介</w:t>
      </w:r>
      <w:r>
        <w:rPr>
          <w:rFonts w:ascii="PingFang TC" w:hAnsi="PingFang TC" w:cs="PingFang TC"/>
          <w:sz w:val="32"/>
          <w:sz-cs w:val="32"/>
          <w:spacing w:val="0"/>
          <w:color w:val="1A1A1A"/>
        </w:rPr>
        <w:t xml:space="preserve">；</w:t>
      </w:r>
      <w:r>
        <w:rPr>
          <w:rFonts w:ascii="PingFang TC" w:hAnsi="PingFang TC" w:cs="PingFang TC"/>
          <w:sz w:val="32"/>
          <w:sz-cs w:val="32"/>
          <w:u w:val="single"/>
          <w:spacing w:val="0"/>
          <w:color w:val="1A1A1A"/>
        </w:rPr>
        <w:t xml:space="preserve">公司介紹</w:t>
      </w:r>
      <w:r>
        <w:rPr>
          <w:rFonts w:ascii="PingFang TC" w:hAnsi="PingFang TC" w:cs="PingFang TC"/>
          <w:sz w:val="32"/>
          <w:sz-cs w:val="32"/>
          <w:spacing w:val="0"/>
          <w:color w:val="1A1A1A"/>
        </w:rPr>
        <w:t xml:space="preserve"/>
      </w:r>
    </w:p>
    <w:p>
      <w:pPr>
        <w:jc w:val="both"/>
        <w:ind w:first-line="640"/>
        <w:spacing w:after="256"/>
      </w:pPr>
      <w:r>
        <w:rPr>
          <w:rFonts w:ascii="PingFang TC" w:hAnsi="PingFang TC" w:cs="PingFang TC"/>
          <w:sz w:val="32"/>
          <w:sz-cs w:val="32"/>
          <w:spacing w:val="0"/>
          <w:color w:val="1A1A1A"/>
        </w:rPr>
        <w:t xml:space="preserve">門市規模亦須依資料日期及統計定義引用。統一超商 2025 年年報稱台灣 7-ELEVEN 店數突破 7,200 店，並在年底便利商店業者比較表列統一超商 7,248 店。較晚的 2026 年投資人關係新聞稿則稱服務據點突破 8,300 個，涵蓋不同型態的服務據點。這些數字的時間與範圍不同，不宜合併成同一門市數序列；年報首頁所標刊印日期也有待人工確認。</w:t>
      </w:r>
      <w:r>
        <w:rPr>
          <w:rFonts w:ascii="PingFang TC" w:hAnsi="PingFang TC" w:cs="PingFang TC"/>
          <w:sz w:val="32"/>
          <w:sz-cs w:val="32"/>
          <w:u w:val="single"/>
          <w:spacing w:val="0"/>
          <w:color w:val="1A1A1A"/>
        </w:rPr>
        <w:t xml:space="preserve">2025 年年報</w:t>
      </w:r>
      <w:r>
        <w:rPr>
          <w:rFonts w:ascii="PingFang TC" w:hAnsi="PingFang TC" w:cs="PingFang TC"/>
          <w:sz w:val="32"/>
          <w:sz-cs w:val="32"/>
          <w:spacing w:val="0"/>
          <w:color w:val="1A1A1A"/>
        </w:rPr>
        <w:t xml:space="preserve">；</w:t>
      </w:r>
      <w:r>
        <w:rPr>
          <w:rFonts w:ascii="PingFang TC" w:hAnsi="PingFang TC" w:cs="PingFang TC"/>
          <w:sz w:val="32"/>
          <w:sz-cs w:val="32"/>
          <w:u w:val="single"/>
          <w:spacing w:val="0"/>
          <w:color w:val="1A1A1A"/>
        </w:rPr>
        <w:t xml:space="preserve">2026 年營運新聞稿</w:t>
      </w:r>
      <w:r>
        <w:rPr>
          <w:rFonts w:ascii="PingFang TC" w:hAnsi="PingFang TC" w:cs="PingFang TC"/>
          <w:sz w:val="32"/>
          <w:sz-cs w:val="32"/>
          <w:spacing w:val="0"/>
          <w:color w:val="1A1A1A"/>
        </w:rPr>
        <w:t xml:space="preserve"/>
      </w:r>
    </w:p>
    <w:p>
      <w:pPr>
        <w:jc w:val="both"/>
        <w:ind w:first-line="640"/>
        <w:spacing w:after="256"/>
      </w:pPr>
      <w:r>
        <w:rPr>
          <w:rFonts w:ascii="PingFang TC" w:hAnsi="PingFang TC" w:cs="PingFang TC"/>
          <w:sz w:val="32"/>
          <w:sz-cs w:val="32"/>
          <w:spacing w:val="0"/>
          <w:color w:val="1A1A1A"/>
        </w:rPr>
        <w:t xml:space="preserve">年報列舉門市零售及多項線上、取貨與支付服務，顯示本研究可在實體門市之外，觀察預購、團購、點數和數位優惠等通路安排。這些資料提供個案背景，並不表示任何單一通路或服務已被證明能提升顧客價值。</w:t>
      </w:r>
    </w:p>
    <w:p>
      <w:pPr>
        <w:spacing w:after="186"/>
      </w:pPr>
      <w:r>
        <w:rPr>
          <w:rFonts w:ascii="PingFang TC Semibold" w:hAnsi="PingFang TC Semibold" w:cs="PingFang TC Semibold"/>
          <w:sz w:val="37"/>
          <w:sz-cs w:val="37"/>
          <w:b/>
          <w:spacing w:val="0"/>
          <w:color w:val="1A1A1A"/>
        </w:rPr>
        <w:t xml:space="preserve">3.2 會員與數位服務</w:t>
      </w:r>
    </w:p>
    <w:p>
      <w:pPr>
        <w:jc w:val="both"/>
        <w:ind w:first-line="640"/>
        <w:spacing w:after="256"/>
      </w:pPr>
      <w:r>
        <w:rPr>
          <w:rFonts w:ascii="PingFang TC" w:hAnsi="PingFang TC" w:cs="PingFang TC"/>
          <w:sz w:val="32"/>
          <w:sz-cs w:val="32"/>
          <w:spacing w:val="0"/>
          <w:color w:val="1A1A1A"/>
        </w:rPr>
        <w:t xml:space="preserve">統一超商官方資料說明，uniopen 為整合會員、點數與支付服務的平台；自 2025 年 7 月 1 日起，既有 OPENPOINT 點數會員轉為 uniopen 會員，原帳號、資料、點數及權益保留。2025 年年報稱當年 uniopen 會員逾 1,900 萬人，2026 年 2 月新聞稿另稱服務會員數達 1,950 萬。由於發布時間和用語不同，本文分別標示，不將兩數當作同一口徑或據此推論忠誠度。</w:t>
      </w:r>
    </w:p>
    <w:p>
      <w:pPr>
        <w:jc w:val="both"/>
        <w:ind w:first-line="640"/>
        <w:spacing w:after="256"/>
      </w:pPr>
      <w:r>
        <w:rPr>
          <w:rFonts w:ascii="PingFang TC" w:hAnsi="PingFang TC" w:cs="PingFang TC"/>
          <w:sz w:val="32"/>
          <w:sz-cs w:val="32"/>
          <w:spacing w:val="0"/>
          <w:color w:val="1A1A1A"/>
        </w:rPr>
        <w:t xml:space="preserve">OPENPOINT 是會員取得、累積、兌換及折抵點數的制度。官方點數頁列明，在 2022 年 1 月 1 日至 2026 年 12 月 31 日期間，符合條件的 7-ELEVEN 消費可取得 0.33% 基本回饋；使用指定支付工具全額付款可再取得 0.17% 支付加碼。官方資料亦說明新制 1 點可折抵 1 元，但折抵商品、支付方式、效期及上限均有規定，部分交易不適用。點數說明與常見問題對效期的描述尚須依點數種類及個別活動核對。</w:t>
      </w:r>
      <w:r>
        <w:rPr>
          <w:rFonts w:ascii="PingFang TC" w:hAnsi="PingFang TC" w:cs="PingFang TC"/>
          <w:sz w:val="32"/>
          <w:sz-cs w:val="32"/>
          <w:u w:val="single"/>
          <w:spacing w:val="0"/>
          <w:color w:val="1A1A1A"/>
        </w:rPr>
        <w:t xml:space="preserve">OPENPOINT 點數規則</w:t>
      </w:r>
      <w:r>
        <w:rPr>
          <w:rFonts w:ascii="PingFang TC" w:hAnsi="PingFang TC" w:cs="PingFang TC"/>
          <w:sz w:val="32"/>
          <w:sz-cs w:val="32"/>
          <w:spacing w:val="0"/>
          <w:color w:val="1A1A1A"/>
        </w:rPr>
        <w:t xml:space="preserve">；</w:t>
      </w:r>
      <w:r>
        <w:rPr>
          <w:rFonts w:ascii="PingFang TC" w:hAnsi="PingFang TC" w:cs="PingFang TC"/>
          <w:sz w:val="32"/>
          <w:sz-cs w:val="32"/>
          <w:u w:val="single"/>
          <w:spacing w:val="0"/>
          <w:color w:val="1A1A1A"/>
        </w:rPr>
        <w:t xml:space="preserve">常見問題</w:t>
      </w:r>
      <w:r>
        <w:rPr>
          <w:rFonts w:ascii="PingFang TC" w:hAnsi="PingFang TC" w:cs="PingFang TC"/>
          <w:sz w:val="32"/>
          <w:sz-cs w:val="32"/>
          <w:spacing w:val="0"/>
          <w:color w:val="1A1A1A"/>
        </w:rPr>
        <w:t xml:space="preserve"/>
      </w:r>
    </w:p>
    <w:p>
      <w:pPr>
        <w:jc w:val="both"/>
        <w:ind w:first-line="640"/>
        <w:spacing w:after="256"/>
      </w:pPr>
      <w:r>
        <w:rPr>
          <w:rFonts w:ascii="PingFang TC" w:hAnsi="PingFang TC" w:cs="PingFang TC"/>
          <w:sz w:val="32"/>
          <w:sz-cs w:val="32"/>
          <w:spacing w:val="0"/>
          <w:color w:val="1A1A1A"/>
        </w:rPr>
        <w:t xml:space="preserve">OPENPOINT APP 提供查詢點數、兌換優惠券、支付及折抵等功能。統一超商年報另列 i 預購、i 划算及行動隨時取等服務；其中 i 預購提供線上預購／銷售，i 划算串接門市團購並提供團購優惠價。各服務的下單、付款、取貨和活動條件仍須依個別商品或公告判讀。官方資料能確認服務功能，不能據此認定會員已使用、感到便利或取得特定程度的價值。</w:t>
      </w:r>
    </w:p>
    <w:p>
      <w:pPr>
        <w:jc w:val="both"/>
        <w:ind w:first-line="640"/>
        <w:spacing w:after="256"/>
      </w:pPr>
      <w:r>
        <w:rPr>
          <w:rFonts w:ascii="PingFang TC" w:hAnsi="PingFang TC" w:cs="PingFang TC"/>
          <w:sz w:val="32"/>
          <w:sz-cs w:val="32"/>
          <w:spacing w:val="0"/>
          <w:color w:val="1A1A1A"/>
        </w:rPr>
        <w:t xml:space="preserve">PRIMA 是需付費的訂閱方案。官方權益頁查閱時列出 365 日年費優惠 888 元、指定類別消費 5% OPENPOINT 回饋且每月上限 300 點，以及生日券和合作通路優惠；服務條款另列自動續訂、試用及退款條件。uniopen 一般會員介紹頁另出現年繳 711 元的資訊，與 PRIMA 專頁所列 888 元不同，適用方案或期限尚待確認。訂閱費之外，回饋還受指定品類、排除交易、期限及上限限制；頁面列示的權益不等於每位訂閱者實際使用或節省的金額。</w:t>
      </w:r>
      <w:r>
        <w:rPr>
          <w:rFonts w:ascii="PingFang TC" w:hAnsi="PingFang TC" w:cs="PingFang TC"/>
          <w:sz w:val="32"/>
          <w:sz-cs w:val="32"/>
          <w:u w:val="single"/>
          <w:spacing w:val="0"/>
          <w:color w:val="1A1A1A"/>
        </w:rPr>
        <w:t xml:space="preserve">PRIMA 權益頁</w:t>
      </w:r>
      <w:r>
        <w:rPr>
          <w:rFonts w:ascii="PingFang TC" w:hAnsi="PingFang TC" w:cs="PingFang TC"/>
          <w:sz w:val="32"/>
          <w:sz-cs w:val="32"/>
          <w:spacing w:val="0"/>
          <w:color w:val="1A1A1A"/>
        </w:rPr>
        <w:t xml:space="preserve">；</w:t>
      </w:r>
      <w:r>
        <w:rPr>
          <w:rFonts w:ascii="PingFang TC" w:hAnsi="PingFang TC" w:cs="PingFang TC"/>
          <w:sz w:val="32"/>
          <w:sz-cs w:val="32"/>
          <w:u w:val="single"/>
          <w:spacing w:val="0"/>
          <w:color w:val="1A1A1A"/>
        </w:rPr>
        <w:t xml:space="preserve">服務條款</w:t>
      </w:r>
      <w:r>
        <w:rPr>
          <w:rFonts w:ascii="PingFang TC" w:hAnsi="PingFang TC" w:cs="PingFang TC"/>
          <w:sz w:val="32"/>
          <w:sz-cs w:val="32"/>
          <w:spacing w:val="0"/>
          <w:color w:val="1A1A1A"/>
        </w:rPr>
        <w:t xml:space="preserve"/>
      </w:r>
    </w:p>
    <w:p>
      <w:pPr>
        <w:spacing w:after="186"/>
      </w:pPr>
      <w:r>
        <w:rPr>
          <w:rFonts w:ascii="PingFang TC Semibold" w:hAnsi="PingFang TC Semibold" w:cs="PingFang TC Semibold"/>
          <w:sz w:val="37"/>
          <w:sz-cs w:val="37"/>
          <w:b/>
          <w:spacing w:val="0"/>
          <w:color w:val="1A1A1A"/>
        </w:rPr>
        <w:t xml:space="preserve">3.3 為何適合作為價格策略個案</w:t>
      </w:r>
    </w:p>
    <w:p>
      <w:pPr>
        <w:jc w:val="both"/>
        <w:ind w:first-line="640"/>
        <w:spacing w:after="256"/>
      </w:pPr>
      <w:r>
        <w:rPr>
          <w:rFonts w:ascii="PingFang TC" w:hAnsi="PingFang TC" w:cs="PingFang TC"/>
          <w:sz w:val="32"/>
          <w:sz-cs w:val="32"/>
          <w:spacing w:val="0"/>
          <w:color w:val="1A1A1A"/>
        </w:rPr>
        <w:t xml:space="preserve">7-ELEVEN 同時具有商品價格、促銷活動、會員優惠、點數機制、數位服務與訂閱制等不同層面的行銷措施，因此適合作為觀察價格策略與顧客知覺價值的個案。這些面向提供以行銷理論整理企業公開措施的材料，也可協助研究者辨識方案所列的利益與使用條件。</w:t>
      </w:r>
    </w:p>
    <w:p>
      <w:pPr>
        <w:jc w:val="both"/>
        <w:ind w:first-line="640"/>
        <w:spacing w:after="256"/>
      </w:pPr>
      <w:r>
        <w:rPr>
          <w:rFonts w:ascii="PingFang TC" w:hAnsi="PingFang TC" w:cs="PingFang TC"/>
          <w:sz w:val="32"/>
          <w:sz-cs w:val="32"/>
          <w:spacing w:val="0"/>
          <w:color w:val="1A1A1A"/>
        </w:rPr>
        <w:t xml:space="preserve">本研究選擇此個案是基於其公開資料涵蓋多種與價格及服務相關的措施，不代表這些措施必然有效，也不表示消費者已感受到價值或其購買意願、忠誠及消費行為因此改變。具體促銷形式與活動條件將留待第四章依已確認資料分析；本章僅交代個案適用性。</w:t>
      </w:r>
    </w:p>
    <w:p>
      <w:pPr>
        <w:spacing w:after="186"/>
      </w:pPr>
      <w:r>
        <w:rPr>
          <w:rFonts w:ascii="PingFang TC Semibold" w:hAnsi="PingFang TC Semibold" w:cs="PingFang TC Semibold"/>
          <w:sz w:val="37"/>
          <w:sz-cs w:val="37"/>
          <w:b/>
          <w:spacing w:val="0"/>
          <w:color w:val="1A1A1A"/>
        </w:rPr>
        <w:t xml:space="preserve">3.4 本章小結</w:t>
      </w:r>
    </w:p>
    <w:p>
      <w:pPr>
        <w:jc w:val="both"/>
        <w:ind w:first-line="640"/>
        <w:spacing w:after="256"/>
      </w:pPr>
      <w:r>
        <w:rPr>
          <w:rFonts w:ascii="PingFang TC" w:hAnsi="PingFang TC" w:cs="PingFang TC"/>
          <w:sz w:val="32"/>
          <w:sz-cs w:val="32"/>
          <w:spacing w:val="0"/>
          <w:color w:val="1A1A1A"/>
        </w:rPr>
        <w:t xml:space="preserve">本章交代統一超商與台灣 7-ELEVEN 的基本背景，以及 uniopen、OPENPOINT、APP、線上服務和 PRIMA 的官方制度資訊。門市與會員數字依其日期和定義分別呈現；年報日期、點數效期及 PRIMA 價格差異則保留待核。以上資料支持後續檢視官方公布的優惠形式與適用條件，但不能代替消費者對知覺價值的直接證據。第四章將依已確認的價格與活動資料，分析指定商品促銷、多件／第二件優惠及組合商品，並區分活動價格與一般售價。</w:t>
      </w:r>
    </w:p>
    <w:p>
      <w:pPr>
        <w:jc w:val="center"/>
        <w:spacing w:after="384"/>
      </w:pPr>
      <w:r>
        <w:rPr>
          <w:rFonts w:ascii="PingFang TC Semibold" w:hAnsi="PingFang TC Semibold" w:cs="PingFang TC Semibold"/>
          <w:sz w:val="48"/>
          <w:sz-cs w:val="48"/>
          <w:b/>
          <w:spacing w:val="0"/>
          <w:color w:val="1A1A1A"/>
        </w:rPr>
        <w:t xml:space="preserve">第四章 7-ELEVEN 價格策略分析</w:t>
      </w:r>
    </w:p>
    <w:p>
      <w:pPr>
        <w:jc w:val="both"/>
        <w:ind w:first-line="640"/>
        <w:spacing w:after="256"/>
      </w:pPr>
      <w:r>
        <w:rPr>
          <w:rFonts w:ascii="PingFang TC" w:hAnsi="PingFang TC" w:cs="PingFang TC"/>
          <w:sz w:val="32"/>
          <w:sz-cs w:val="32"/>
          <w:spacing w:val="0"/>
          <w:color w:val="1A1A1A"/>
        </w:rPr>
        <w:t xml:space="preserve">本章依目前已確認的官方活動資料，整理台灣 7-ELEVEN 指定商品促銷、限時特價、多件優惠、第二件優惠與組合商品，並運用顧客知覺價值相關理論分析其中可能的利益與取得條件。以下所稱價格均依來源標示為特定活動價格，不視為商品的一般售價或企業長期定價。本章區分官方公告事實與研究者分析；促銷公告本身不代表消費者已感受到價值，也不能單獨證明銷售或消費行為有所改變。</w:t>
      </w:r>
    </w:p>
    <w:p>
      <w:pPr>
        <w:spacing w:after="186"/>
      </w:pPr>
      <w:r>
        <w:rPr>
          <w:rFonts w:ascii="PingFang TC Semibold" w:hAnsi="PingFang TC Semibold" w:cs="PingFang TC Semibold"/>
          <w:sz w:val="37"/>
          <w:sz-cs w:val="37"/>
          <w:b/>
          <w:spacing w:val="0"/>
          <w:color w:val="1A1A1A"/>
        </w:rPr>
        <w:t xml:space="preserve">4.1 指定商品促銷與限時特價</w:t>
      </w:r>
    </w:p>
    <w:p>
      <w:pPr>
        <w:jc w:val="both"/>
        <w:ind w:first-line="640"/>
        <w:spacing w:after="256"/>
      </w:pPr>
      <w:r>
        <w:rPr>
          <w:rFonts w:ascii="PingFang TC Semibold" w:hAnsi="PingFang TC Semibold" w:cs="PingFang TC Semibold"/>
          <w:sz w:val="32"/>
          <w:sz-cs w:val="32"/>
          <w:b/>
          <w:spacing w:val="0"/>
          <w:color w:val="1A1A1A"/>
        </w:rPr>
        <w:t xml:space="preserve">官方事實：</w:t>
      </w:r>
      <w:r>
        <w:rPr>
          <w:rFonts w:ascii="PingFang TC" w:hAnsi="PingFang TC" w:cs="PingFang TC"/>
          <w:sz w:val="32"/>
          <w:sz-cs w:val="32"/>
          <w:spacing w:val="0"/>
          <w:color w:val="1A1A1A"/>
        </w:rPr>
        <w:t xml:space="preserve">7-ELEVEN 官方代收優惠券頁列出一系列指定商品優惠，活動期間標示為 2026 年 9 月 30 日至 10 月 27 日，頁面未另列發布日期。頁面舉例包括統一 H2O 純水 600ml 特價 15 元、指定精品咖啡單杯 29 元或 39 元，以及其他限定品項優惠。活動頁載明優惠不得併用、供應數量依各門市實際可售為準，且部分通路或商品不參加。</w:t>
      </w:r>
      <w:r>
        <w:rPr>
          <w:rFonts w:ascii="PingFang TC" w:hAnsi="PingFang TC" w:cs="PingFang TC"/>
          <w:sz w:val="32"/>
          <w:sz-cs w:val="32"/>
          <w:u w:val="single"/>
          <w:spacing w:val="0"/>
          <w:color w:val="1A1A1A"/>
        </w:rPr>
        <w:t xml:space="preserve">官方優惠清單</w:t>
      </w:r>
      <w:r>
        <w:rPr>
          <w:rFonts w:ascii="PingFang TC" w:hAnsi="PingFang TC" w:cs="PingFang TC"/>
          <w:sz w:val="32"/>
          <w:sz-cs w:val="32"/>
          <w:spacing w:val="0"/>
          <w:color w:val="1A1A1A"/>
        </w:rPr>
        <w:t xml:space="preserve"/>
      </w:r>
    </w:p>
    <w:p>
      <w:pPr>
        <w:jc w:val="both"/>
        <w:ind w:first-line="640"/>
        <w:spacing w:after="256"/>
      </w:pPr>
      <w:r>
        <w:rPr>
          <w:rFonts w:ascii="PingFang TC" w:hAnsi="PingFang TC" w:cs="PingFang TC"/>
          <w:sz w:val="32"/>
          <w:sz-cs w:val="32"/>
          <w:spacing w:val="0"/>
          <w:color w:val="1A1A1A"/>
        </w:rPr>
        <w:t xml:space="preserve">另一項官方案例是 2026 年世界地球日活動。統一超商於 4 月 13 日發布新聞稿，公告 4 月 15 日至 28 日間的指定飲品優惠、點數回饋及自帶杯折抵等方案；其中部分內容有各自的品項、門市或日期限制，活動現已結束。</w:t>
      </w:r>
      <w:r>
        <w:rPr>
          <w:rFonts w:ascii="PingFang TC" w:hAnsi="PingFang TC" w:cs="PingFang TC"/>
          <w:sz w:val="32"/>
          <w:sz-cs w:val="32"/>
          <w:u w:val="single"/>
          <w:spacing w:val="0"/>
          <w:color w:val="1A1A1A"/>
        </w:rPr>
        <w:t xml:space="preserve">世界地球日活動新聞稿</w:t>
      </w:r>
      <w:r>
        <w:rPr>
          <w:rFonts w:ascii="PingFang TC" w:hAnsi="PingFang TC" w:cs="PingFang TC"/>
          <w:sz w:val="32"/>
          <w:sz-cs w:val="32"/>
          <w:spacing w:val="0"/>
          <w:color w:val="1A1A1A"/>
        </w:rPr>
        <w:t xml:space="preserve"/>
      </w:r>
    </w:p>
    <w:p>
      <w:pPr>
        <w:jc w:val="both"/>
        <w:ind w:first-line="640"/>
        <w:spacing w:after="256"/>
      </w:pPr>
      <w:r>
        <w:rPr>
          <w:rFonts w:ascii="PingFang TC Semibold" w:hAnsi="PingFang TC Semibold" w:cs="PingFang TC Semibold"/>
          <w:sz w:val="32"/>
          <w:sz-cs w:val="32"/>
          <w:b/>
          <w:spacing w:val="0"/>
          <w:color w:val="1A1A1A"/>
        </w:rPr>
        <w:t xml:space="preserve">研究者分析：</w:t>
      </w:r>
      <w:r>
        <w:rPr>
          <w:rFonts w:ascii="PingFang TC" w:hAnsi="PingFang TC" w:cs="PingFang TC"/>
          <w:sz w:val="32"/>
          <w:sz-cs w:val="32"/>
          <w:spacing w:val="0"/>
          <w:color w:val="1A1A1A"/>
        </w:rPr>
        <w:t xml:space="preserve">依 Zeithaml（1988）的知覺價值觀點，顧客可能會將取得的商品或優惠，與自己付出的金錢及其他條件一併衡量。因此，指定商品活動價可作為分析「可能價格利益」的資料線索；活動期限、商品範圍、門市供應與不得併用等規定，則界定了優惠如何取得。第二項地球日活動還同時包含折價、點數與自帶杯條件，分析時宜分開描述其利益形式，不把環境相關活動目的直接等同消費者的價值感受。</w:t>
      </w:r>
    </w:p>
    <w:p>
      <w:pPr>
        <w:jc w:val="both"/>
        <w:ind w:first-line="640"/>
        <w:spacing w:after="256"/>
      </w:pPr>
      <w:r>
        <w:rPr>
          <w:rFonts w:ascii="PingFang TC" w:hAnsi="PingFang TC" w:cs="PingFang TC"/>
          <w:sz w:val="32"/>
          <w:sz-cs w:val="32"/>
          <w:spacing w:val="0"/>
          <w:color w:val="1A1A1A"/>
        </w:rPr>
        <w:t xml:space="preserve">目前來源未提供上述商品完整的一般售價、活動前價格或可比規格，故本研究不計算折扣率或節省金額，也不將活動價解讀為日常售價、低價定位或長期價格策略。限時資訊本身亦不足以證明消費者感到急迫，或因此增加購買。</w:t>
      </w:r>
    </w:p>
    <w:p>
      <w:pPr>
        <w:spacing w:after="186"/>
      </w:pPr>
      <w:r>
        <w:rPr>
          <w:rFonts w:ascii="PingFang TC Semibold" w:hAnsi="PingFang TC Semibold" w:cs="PingFang TC Semibold"/>
          <w:sz w:val="37"/>
          <w:sz-cs w:val="37"/>
          <w:b/>
          <w:spacing w:val="0"/>
          <w:color w:val="1A1A1A"/>
        </w:rPr>
        <w:t xml:space="preserve">4.2 多件優惠與第二件優惠</w:t>
      </w:r>
    </w:p>
    <w:p>
      <w:pPr>
        <w:jc w:val="both"/>
        <w:ind w:first-line="640"/>
        <w:spacing w:after="256"/>
      </w:pPr>
      <w:r>
        <w:rPr>
          <w:rFonts w:ascii="PingFang TC Semibold" w:hAnsi="PingFang TC Semibold" w:cs="PingFang TC Semibold"/>
          <w:sz w:val="32"/>
          <w:sz-cs w:val="32"/>
          <w:b/>
          <w:spacing w:val="0"/>
          <w:color w:val="1A1A1A"/>
        </w:rPr>
        <w:t xml:space="preserve">官方事實：</w:t>
      </w:r>
      <w:r>
        <w:rPr>
          <w:rFonts w:ascii="PingFang TC" w:hAnsi="PingFang TC" w:cs="PingFang TC"/>
          <w:sz w:val="32"/>
          <w:sz-cs w:val="32"/>
          <w:spacing w:val="0"/>
          <w:color w:val="1A1A1A"/>
        </w:rPr>
        <w:t xml:space="preserve">同一份官方優惠清單列有指定 EXTRA 口香糖任 2 件 65 元、指定奧利 Oreo／麗滋餅乾第 2 件 11 元，以及指定商品買 1 送 1 等促銷。優惠適用品項與活動期間有限，且依頁面規定不得與其他優惠併用，供應情況依門市而異。</w:t>
      </w:r>
      <w:r>
        <w:rPr>
          <w:rFonts w:ascii="PingFang TC" w:hAnsi="PingFang TC" w:cs="PingFang TC"/>
          <w:sz w:val="32"/>
          <w:sz-cs w:val="32"/>
          <w:u w:val="single"/>
          <w:spacing w:val="0"/>
          <w:color w:val="1A1A1A"/>
        </w:rPr>
        <w:t xml:space="preserve">官方優惠清單</w:t>
      </w:r>
      <w:r>
        <w:rPr>
          <w:rFonts w:ascii="PingFang TC" w:hAnsi="PingFang TC" w:cs="PingFang TC"/>
          <w:sz w:val="32"/>
          <w:sz-cs w:val="32"/>
          <w:spacing w:val="0"/>
          <w:color w:val="1A1A1A"/>
        </w:rPr>
        <w:t xml:space="preserve"/>
      </w:r>
    </w:p>
    <w:p>
      <w:pPr>
        <w:jc w:val="both"/>
        <w:ind w:first-line="640"/>
        <w:spacing w:after="256"/>
      </w:pPr>
      <w:r>
        <w:rPr>
          <w:rFonts w:ascii="PingFang TC" w:hAnsi="PingFang TC" w:cs="PingFang TC"/>
          <w:sz w:val="32"/>
          <w:sz-cs w:val="32"/>
          <w:spacing w:val="0"/>
          <w:color w:val="1A1A1A"/>
        </w:rPr>
        <w:t xml:space="preserve">2026 年地球日活動也包含指定燕麥飲品第二件或第二杯優惠，並搭配指定商品點數 3 倍回饋、自帶杯折抵等內容。這些安排屬各自有品項及期間條件的活動，不代表所有飲品或門市皆適用。</w:t>
      </w:r>
      <w:r>
        <w:rPr>
          <w:rFonts w:ascii="PingFang TC" w:hAnsi="PingFang TC" w:cs="PingFang TC"/>
          <w:sz w:val="32"/>
          <w:sz-cs w:val="32"/>
          <w:u w:val="single"/>
          <w:spacing w:val="0"/>
          <w:color w:val="1A1A1A"/>
        </w:rPr>
        <w:t xml:space="preserve">活動新聞稿</w:t>
      </w:r>
      <w:r>
        <w:rPr>
          <w:rFonts w:ascii="PingFang TC" w:hAnsi="PingFang TC" w:cs="PingFang TC"/>
          <w:sz w:val="32"/>
          <w:sz-cs w:val="32"/>
          <w:spacing w:val="0"/>
          <w:color w:val="1A1A1A"/>
        </w:rPr>
        <w:t xml:space="preserve"/>
      </w:r>
    </w:p>
    <w:p>
      <w:pPr>
        <w:jc w:val="both"/>
        <w:ind w:first-line="640"/>
        <w:spacing w:after="256"/>
      </w:pPr>
      <w:r>
        <w:rPr>
          <w:rFonts w:ascii="PingFang TC Semibold" w:hAnsi="PingFang TC Semibold" w:cs="PingFang TC Semibold"/>
          <w:sz w:val="32"/>
          <w:sz-cs w:val="32"/>
          <w:b/>
          <w:spacing w:val="0"/>
          <w:color w:val="1A1A1A"/>
        </w:rPr>
        <w:t xml:space="preserve">研究者分析：</w:t>
      </w:r>
      <w:r>
        <w:rPr>
          <w:rFonts w:ascii="PingFang TC" w:hAnsi="PingFang TC" w:cs="PingFang TC"/>
          <w:sz w:val="32"/>
          <w:sz-cs w:val="32"/>
          <w:spacing w:val="0"/>
          <w:color w:val="1A1A1A"/>
        </w:rPr>
        <w:t xml:space="preserve">Chandon、Wansink 與 Laurent（2000）的促銷利益架構可協助整理促銷可能提供的實用利益，例如節省支出；Zeithaml 的所得／付出概念則提醒分析者同時注意取得利益所需的購買條件。多件總價、第二件折價與買一送一的條件不同：消費者需購買指定數量，或在一次交易中承擔較高的總支出，才可能取得活動所列利益。這是根據優惠規則整理出的可能成本，不表示每位顧客都認為購買件數或總支出構成負擔。</w:t>
      </w:r>
    </w:p>
    <w:p>
      <w:pPr>
        <w:jc w:val="both"/>
        <w:ind w:first-line="640"/>
        <w:spacing w:after="256"/>
      </w:pPr>
      <w:r>
        <w:rPr>
          <w:rFonts w:ascii="PingFang TC" w:hAnsi="PingFang TC" w:cs="PingFang TC"/>
          <w:sz w:val="32"/>
          <w:sz-cs w:val="32"/>
          <w:spacing w:val="0"/>
          <w:color w:val="1A1A1A"/>
        </w:rPr>
        <w:t xml:space="preserve">若官方頁未同時列出一般售價及明確比較基準，便不能判定實際省下多少，也不應把「第二件優惠」寫成商品日常售價減半。現有資料亦沒有促銷前後銷售、對照組或顧客反應，故不能推論促銷使消費者多買、提高購買意願、客單價或忠誠度。</w:t>
      </w:r>
    </w:p>
    <w:p>
      <w:pPr>
        <w:spacing w:after="186"/>
      </w:pPr>
      <w:r>
        <w:rPr>
          <w:rFonts w:ascii="PingFang TC Semibold" w:hAnsi="PingFang TC Semibold" w:cs="PingFang TC Semibold"/>
          <w:sz w:val="37"/>
          <w:sz-cs w:val="37"/>
          <w:b/>
          <w:spacing w:val="0"/>
          <w:color w:val="1A1A1A"/>
        </w:rPr>
        <w:t xml:space="preserve">4.3 組合商品與促銷方案</w:t>
      </w:r>
    </w:p>
    <w:p>
      <w:pPr>
        <w:jc w:val="both"/>
        <w:ind w:first-line="640"/>
        <w:spacing w:after="256"/>
      </w:pPr>
      <w:r>
        <w:rPr>
          <w:rFonts w:ascii="PingFang TC Semibold" w:hAnsi="PingFang TC Semibold" w:cs="PingFang TC Semibold"/>
          <w:sz w:val="32"/>
          <w:sz-cs w:val="32"/>
          <w:b/>
          <w:spacing w:val="0"/>
          <w:color w:val="1A1A1A"/>
        </w:rPr>
        <w:t xml:space="preserve">官方事實：</w:t>
      </w:r>
      <w:r>
        <w:rPr>
          <w:rFonts w:ascii="PingFang TC" w:hAnsi="PingFang TC" w:cs="PingFang TC"/>
          <w:sz w:val="32"/>
          <w:sz-cs w:val="32"/>
          <w:spacing w:val="0"/>
          <w:color w:val="1A1A1A"/>
        </w:rPr>
        <w:t xml:space="preserve">統一超商 2025 年 9 月 15 日發布的官方新聞稿曾公告會員限定滿額立折、指定禮盒優惠及組合方案，包括指定禮盒 3 件 1,000 元，並附有活動期間、品項與資格條件。該活動屬歷史活動，不能視為現行優惠。</w:t>
      </w:r>
      <w:r>
        <w:rPr>
          <w:rFonts w:ascii="PingFang TC" w:hAnsi="PingFang TC" w:cs="PingFang TC"/>
          <w:sz w:val="32"/>
          <w:sz-cs w:val="32"/>
          <w:u w:val="single"/>
          <w:spacing w:val="0"/>
          <w:color w:val="1A1A1A"/>
        </w:rPr>
        <w:t xml:space="preserve">OPENPOINT／uniopen 活動新聞稿</w:t>
      </w:r>
      <w:r>
        <w:rPr>
          <w:rFonts w:ascii="PingFang TC" w:hAnsi="PingFang TC" w:cs="PingFang TC"/>
          <w:sz w:val="32"/>
          <w:sz-cs w:val="32"/>
          <w:spacing w:val="0"/>
          <w:color w:val="1A1A1A"/>
        </w:rPr>
        <w:t xml:space="preserve"/>
      </w:r>
    </w:p>
    <w:p>
      <w:pPr>
        <w:jc w:val="both"/>
        <w:ind w:first-line="640"/>
        <w:spacing w:after="256"/>
      </w:pPr>
      <w:r>
        <w:rPr>
          <w:rFonts w:ascii="PingFang TC" w:hAnsi="PingFang TC" w:cs="PingFang TC"/>
          <w:sz w:val="32"/>
          <w:sz-cs w:val="32"/>
          <w:spacing w:val="0"/>
          <w:color w:val="1A1A1A"/>
        </w:rPr>
        <w:t xml:space="preserve">另一項 2026 年 8 月 27 日發布並於 8 月 27 日至 29 日辦理的活動，透過「行動隨時取」提供限量多件商品組合，例如指定三明治 6 件 265 元、CITY CAFE 大杯燕麥拿鐵 7 杯組 360 元。公告載明售完為止，兌領限制與指定門市等細節須查看 OPENPOINT APP；活動已結束。</w:t>
      </w:r>
      <w:r>
        <w:rPr>
          <w:rFonts w:ascii="PingFang TC" w:hAnsi="PingFang TC" w:cs="PingFang TC"/>
          <w:sz w:val="32"/>
          <w:sz-cs w:val="32"/>
          <w:u w:val="single"/>
          <w:spacing w:val="0"/>
          <w:color w:val="1A1A1A"/>
        </w:rPr>
        <w:t xml:space="preserve">亞太永續博覽會活動新聞稿</w:t>
      </w:r>
      <w:r>
        <w:rPr>
          <w:rFonts w:ascii="PingFang TC" w:hAnsi="PingFang TC" w:cs="PingFang TC"/>
          <w:sz w:val="32"/>
          <w:sz-cs w:val="32"/>
          <w:spacing w:val="0"/>
          <w:color w:val="1A1A1A"/>
        </w:rPr>
        <w:t xml:space="preserve"/>
      </w:r>
    </w:p>
    <w:p>
      <w:pPr>
        <w:jc w:val="both"/>
        <w:ind w:first-line="640"/>
        <w:spacing w:after="256"/>
      </w:pPr>
      <w:r>
        <w:rPr>
          <w:rFonts w:ascii="PingFang TC Semibold" w:hAnsi="PingFang TC Semibold" w:cs="PingFang TC Semibold"/>
          <w:sz w:val="32"/>
          <w:sz-cs w:val="32"/>
          <w:b/>
          <w:spacing w:val="0"/>
          <w:color w:val="1A1A1A"/>
        </w:rPr>
        <w:t xml:space="preserve">研究者分析：</w:t>
      </w:r>
      <w:r>
        <w:rPr>
          <w:rFonts w:ascii="PingFang TC" w:hAnsi="PingFang TC" w:cs="PingFang TC"/>
          <w:sz w:val="32"/>
          <w:sz-cs w:val="32"/>
          <w:spacing w:val="0"/>
          <w:color w:val="1A1A1A"/>
        </w:rPr>
        <w:t xml:space="preserve">組合商品把多件商品的總價及數量一併呈現，可作為觀察價格呈現方式與促銷方案的案例。Sweeney 與 Soutar（2001）的 PERVAL 架構包含價格／物有所值等構面，可作為分析分類參考；但該量表原用於耐久消費品品牌，本研究沒有進行 PERVAL 問卷，也不以此測量超商消費者。若討論組合可能帶來的便利，應以公告中明示的預購或兌領服務為基礎，並將便利感標示為理論上的可能解讀。</w:t>
      </w:r>
    </w:p>
    <w:p>
      <w:pPr>
        <w:jc w:val="both"/>
        <w:ind w:first-line="640"/>
        <w:spacing w:after="256"/>
      </w:pPr>
      <w:r>
        <w:rPr>
          <w:rFonts w:ascii="PingFang TC" w:hAnsi="PingFang TC" w:cs="PingFang TC"/>
          <w:sz w:val="32"/>
          <w:sz-cs w:val="32"/>
          <w:spacing w:val="0"/>
          <w:color w:val="1A1A1A"/>
        </w:rPr>
        <w:t xml:space="preserve">相關組合公告未提供所有商品可比的單件一般售價，部分百分比折數的計算基準也不清楚。因此，本研究不反算原價、單件折扣或節省金額。組合總支出、購買數量、限量及兌領安排可列為取得優惠時的條件，但不能直接推論組合適合每位顧客或已形成其知覺利益。</w:t>
      </w:r>
    </w:p>
    <w:p>
      <w:pPr>
        <w:spacing w:after="186"/>
      </w:pPr>
      <w:r>
        <w:rPr>
          <w:rFonts w:ascii="PingFang TC Semibold" w:hAnsi="PingFang TC Semibold" w:cs="PingFang TC Semibold"/>
          <w:sz w:val="37"/>
          <w:sz-cs w:val="37"/>
          <w:b/>
          <w:spacing w:val="0"/>
          <w:color w:val="1A1A1A"/>
        </w:rPr>
        <w:t xml:space="preserve">4.4 價格策略的行銷分析</w:t>
      </w:r>
    </w:p>
    <w:p>
      <w:pPr>
        <w:jc w:val="both"/>
        <w:ind w:first-line="640"/>
        <w:spacing w:after="256"/>
      </w:pPr>
      <w:r>
        <w:rPr>
          <w:rFonts w:ascii="PingFang TC" w:hAnsi="PingFang TC" w:cs="PingFang TC"/>
          <w:sz w:val="32"/>
          <w:sz-cs w:val="32"/>
          <w:spacing w:val="0"/>
          <w:color w:val="1A1A1A"/>
        </w:rPr>
        <w:t xml:space="preserve">本研究以 Zeithaml（1988）所述「得到什麼」與「付出什麼」作為主要分析方向。就目前資料而言，官方明確列出的特價、多件價、第二件優惠、點數回饋及商品組合，呈現了企業在特定活動中提供的價格或回饋利益；指定品項、購買數量、活動期限、適用門市、會員資格、供應量與兌領方式則是消費者取得利益時應留意的條件。分析須依活動逐項說明，不能把所有促銷視為同一種折扣，也不能把點數回饋當作立即、無條件的現金降價。</w:t>
      </w:r>
    </w:p>
    <w:p>
      <w:pPr>
        <w:jc w:val="both"/>
        <w:ind w:first-line="640"/>
        <w:spacing w:after="256"/>
      </w:pPr>
      <w:r>
        <w:rPr>
          <w:rFonts w:ascii="PingFang TC" w:hAnsi="PingFang TC" w:cs="PingFang TC"/>
          <w:sz w:val="32"/>
          <w:sz-cs w:val="32"/>
          <w:spacing w:val="0"/>
          <w:color w:val="1A1A1A"/>
        </w:rPr>
        <w:t xml:space="preserve">Chandon 等人（2000）的架構指出，可從促銷的實用與享樂利益類型理解促銷方案。本章案例主要能辨認官方明示的金錢折讓、點數回饋和多件商品安排，並可討論它們可能提供的實用利益；但官方公告並未證明消費者如何評價這些利益。PERVAL 的價格／物有所值構面則可用來組織分析問題，例如優惠價格與購買條件如何並列；由於本研究沒有施測量表，不能計算或宣稱顧客的知覺價值高低。</w:t>
      </w:r>
    </w:p>
    <w:p>
      <w:pPr>
        <w:jc w:val="both"/>
        <w:ind w:first-line="640"/>
        <w:spacing w:after="256"/>
      </w:pPr>
      <w:r>
        <w:rPr>
          <w:rFonts w:ascii="PingFang TC" w:hAnsi="PingFang TC" w:cs="PingFang TC"/>
          <w:sz w:val="32"/>
          <w:sz-cs w:val="32"/>
          <w:spacing w:val="0"/>
          <w:color w:val="1A1A1A"/>
        </w:rPr>
        <w:t xml:space="preserve">因此，本章的分析層次是「資料事實—理論解讀—研究者推論」：活動品項、價格與條款屬官方事實；將折價視為可能金錢利益、將件數或期限視為可能取得條件，屬理論解讀；若進一步說顧客覺得划算、偏好某種促銷或因此改變購買行為，則是現有資料無法確認的研究者推論。可比原價及促銷效果資料不足時，應明確保留「目前證據不足」，不把促銷相關描述改寫成因果結果。</w:t>
      </w:r>
    </w:p>
    <w:p>
      <w:pPr>
        <w:spacing w:after="186"/>
      </w:pPr>
      <w:r>
        <w:rPr>
          <w:rFonts w:ascii="PingFang TC Semibold" w:hAnsi="PingFang TC Semibold" w:cs="PingFang TC Semibold"/>
          <w:sz w:val="37"/>
          <w:sz-cs w:val="37"/>
          <w:b/>
          <w:spacing w:val="0"/>
          <w:color w:val="1A1A1A"/>
        </w:rPr>
        <w:t xml:space="preserve">4.5 本章小結</w:t>
      </w:r>
    </w:p>
    <w:p>
      <w:pPr>
        <w:jc w:val="both"/>
        <w:ind w:first-line="640"/>
        <w:spacing w:after="256"/>
      </w:pPr>
      <w:r>
        <w:rPr>
          <w:rFonts w:ascii="PingFang TC" w:hAnsi="PingFang TC" w:cs="PingFang TC"/>
          <w:sz w:val="32"/>
          <w:sz-cs w:val="32"/>
          <w:spacing w:val="0"/>
          <w:color w:val="1A1A1A"/>
        </w:rPr>
        <w:t xml:space="preserve">本章整理官方資料所列的指定商品特價、限時活動、多件優惠、第二件優惠及組合商品，並指出各活動的價格只適用於公告所列品項、期間與條件。依 Zeithaml 的所得／付出觀點，可將促銷利益與購買數量、資格、期限及兌領條件並列；Chandon 等人的架構及 PERVAL 價格價值構面可協助分類與形成分析問題，但不能代替消費者實際感受的證據。由於常態原價、可比價格及促銷因果資料不足，本章不判定一般價格定位、節省比例或活動成效。第五章將進一步整理會員優惠、OPENPOINT 點數、數位服務與 PRIMA 訂閱制所提供的可能利益及其使用成本。</w:t>
      </w:r>
    </w:p>
    <w:p>
      <w:pPr>
        <w:jc w:val="center"/>
        <w:spacing w:after="384"/>
      </w:pPr>
      <w:r>
        <w:rPr>
          <w:rFonts w:ascii="PingFang TC Semibold" w:hAnsi="PingFang TC Semibold" w:cs="PingFang TC Semibold"/>
          <w:sz w:val="48"/>
          <w:sz-cs w:val="48"/>
          <w:b/>
          <w:spacing w:val="0"/>
          <w:color w:val="1A1A1A"/>
        </w:rPr>
        <w:t xml:space="preserve">第五章 會員、促銷與顧客知覺價值分析</w:t>
      </w:r>
    </w:p>
    <w:p>
      <w:pPr>
        <w:jc w:val="both"/>
        <w:ind w:first-line="640"/>
        <w:spacing w:after="256"/>
      </w:pPr>
      <w:r>
        <w:rPr>
          <w:rFonts w:ascii="PingFang TC" w:hAnsi="PingFang TC" w:cs="PingFang TC"/>
          <w:sz w:val="32"/>
          <w:sz-cs w:val="32"/>
          <w:spacing w:val="0"/>
          <w:color w:val="1A1A1A"/>
        </w:rPr>
        <w:t xml:space="preserve">本章以目前已整理的統一超商及 7-ELEVEN 官方資料，說明 uniopen 會員、OPENPOINT 點數、APP／數位服務與 PRIMA 訂閱制的制度和使用條件，再以顧客知覺價值理論整理可能的利益與成本。官方公布某項優惠或服務，代表企業提供該項措施；並不代表顧客實際使用、感受到利益或認為方案值得。本章因此區分官方資料與研究者分析，不將企業公布的會員或交易數據解讀為消費者忠誠或因果成效。</w:t>
      </w:r>
    </w:p>
    <w:p>
      <w:pPr>
        <w:spacing w:after="186"/>
      </w:pPr>
      <w:r>
        <w:rPr>
          <w:rFonts w:ascii="PingFang TC Semibold" w:hAnsi="PingFang TC Semibold" w:cs="PingFang TC Semibold"/>
          <w:sz w:val="37"/>
          <w:sz-cs w:val="37"/>
          <w:b/>
          <w:spacing w:val="0"/>
          <w:color w:val="1A1A1A"/>
        </w:rPr>
        <w:t xml:space="preserve">5.1 OPENPOINT 點數機制</w:t>
      </w:r>
    </w:p>
    <w:p>
      <w:pPr>
        <w:jc w:val="both"/>
        <w:ind w:first-line="640"/>
        <w:spacing w:after="256"/>
      </w:pPr>
      <w:r>
        <w:rPr>
          <w:rFonts w:ascii="PingFang TC Semibold" w:hAnsi="PingFang TC Semibold" w:cs="PingFang TC Semibold"/>
          <w:sz w:val="32"/>
          <w:sz-cs w:val="32"/>
          <w:b/>
          <w:spacing w:val="0"/>
          <w:color w:val="1A1A1A"/>
        </w:rPr>
        <w:t xml:space="preserve">官方資料：</w:t>
      </w:r>
      <w:r>
        <w:rPr>
          <w:rFonts w:ascii="PingFang TC" w:hAnsi="PingFang TC" w:cs="PingFang TC"/>
          <w:sz w:val="32"/>
          <w:sz-cs w:val="32"/>
          <w:spacing w:val="0"/>
          <w:color w:val="1A1A1A"/>
        </w:rPr>
        <w:t xml:space="preserve">OPENPOINT 是會員累積、兌換及折抵點數的制度。官方點數頁載明，2022 年 1 月 1 日至 2026 年 12 月 31 日期間，符合規定的 7-ELEVEN 消費可取得 0.33% 基本回饋；若使用指定支付工具單筆全額付款，另有 0.17% 支付加碼。新制點數 1 點可折抵 1 元，也可依規則兌換商品券或抵用券；但部分商品、代收交易或支付方式不適用，並有點數效期與折抵限制。</w:t>
      </w:r>
      <w:r>
        <w:rPr>
          <w:rFonts w:ascii="PingFang TC" w:hAnsi="PingFang TC" w:cs="PingFang TC"/>
          <w:sz w:val="32"/>
          <w:sz-cs w:val="32"/>
          <w:u w:val="single"/>
          <w:spacing w:val="0"/>
          <w:color w:val="1A1A1A"/>
        </w:rPr>
        <w:t xml:space="preserve">OPENPOINT 點數規則</w:t>
      </w:r>
      <w:r>
        <w:rPr>
          <w:rFonts w:ascii="PingFang TC" w:hAnsi="PingFang TC" w:cs="PingFang TC"/>
          <w:sz w:val="32"/>
          <w:sz-cs w:val="32"/>
          <w:spacing w:val="0"/>
          <w:color w:val="1A1A1A"/>
        </w:rPr>
        <w:t xml:space="preserve">；</w:t>
      </w:r>
      <w:r>
        <w:rPr>
          <w:rFonts w:ascii="PingFang TC" w:hAnsi="PingFang TC" w:cs="PingFang TC"/>
          <w:sz w:val="32"/>
          <w:sz-cs w:val="32"/>
          <w:u w:val="single"/>
          <w:spacing w:val="0"/>
          <w:color w:val="1A1A1A"/>
        </w:rPr>
        <w:t xml:space="preserve">常見問題</w:t>
      </w:r>
      <w:r>
        <w:rPr>
          <w:rFonts w:ascii="PingFang TC" w:hAnsi="PingFang TC" w:cs="PingFang TC"/>
          <w:sz w:val="32"/>
          <w:sz-cs w:val="32"/>
          <w:spacing w:val="0"/>
          <w:color w:val="1A1A1A"/>
        </w:rPr>
        <w:t xml:space="preserve"/>
      </w:r>
    </w:p>
    <w:p>
      <w:pPr>
        <w:jc w:val="both"/>
        <w:ind w:first-line="640"/>
        <w:spacing w:after="256"/>
      </w:pPr>
      <w:r>
        <w:rPr>
          <w:rFonts w:ascii="PingFang TC Semibold" w:hAnsi="PingFang TC Semibold" w:cs="PingFang TC Semibold"/>
          <w:sz w:val="32"/>
          <w:sz-cs w:val="32"/>
          <w:b/>
          <w:spacing w:val="0"/>
          <w:color w:val="1A1A1A"/>
        </w:rPr>
        <w:t xml:space="preserve">研究者分析：</w:t>
      </w:r>
      <w:r>
        <w:rPr>
          <w:rFonts w:ascii="PingFang TC" w:hAnsi="PingFang TC" w:cs="PingFang TC"/>
          <w:sz w:val="32"/>
          <w:sz-cs w:val="32"/>
          <w:spacing w:val="0"/>
          <w:color w:val="1A1A1A"/>
        </w:rPr>
        <w:t xml:space="preserve">依 Zeithaml（1988）的「得到／付出」觀點，點數回饋可作為可能的金錢利益，會員出示資料、使用指定支付工具、累積足夠點數並在期限內兌換，則是取得利益時需符合的條件。官方標示 1 點折抵 1 元提供明確的兌換基準，但不表示每位會員都能取得、使用或完整兌完點數。點數說明頁指出不同活動贈點可能有各自效期；常見問題則有較概括的效期說明，適用點數類型尚待核對，不宜把單一期限寫成全部點數的通則。</w:t>
      </w:r>
    </w:p>
    <w:p>
      <w:pPr>
        <w:spacing w:after="186"/>
      </w:pPr>
      <w:r>
        <w:rPr>
          <w:rFonts w:ascii="PingFang TC Semibold" w:hAnsi="PingFang TC Semibold" w:cs="PingFang TC Semibold"/>
          <w:sz w:val="37"/>
          <w:sz-cs w:val="37"/>
          <w:b/>
          <w:spacing w:val="0"/>
          <w:color w:val="1A1A1A"/>
        </w:rPr>
        <w:t xml:space="preserve">5.2 會員優惠</w:t>
      </w:r>
    </w:p>
    <w:p>
      <w:pPr>
        <w:jc w:val="both"/>
        <w:ind w:first-line="640"/>
        <w:spacing w:after="256"/>
      </w:pPr>
      <w:r>
        <w:rPr>
          <w:rFonts w:ascii="PingFang TC Semibold" w:hAnsi="PingFang TC Semibold" w:cs="PingFang TC Semibold"/>
          <w:sz w:val="32"/>
          <w:sz-cs w:val="32"/>
          <w:b/>
          <w:spacing w:val="0"/>
          <w:color w:val="1A1A1A"/>
        </w:rPr>
        <w:t xml:space="preserve">官方資料：</w:t>
      </w:r>
      <w:r>
        <w:rPr>
          <w:rFonts w:ascii="PingFang TC" w:hAnsi="PingFang TC" w:cs="PingFang TC"/>
          <w:sz w:val="32"/>
          <w:sz-cs w:val="32"/>
          <w:spacing w:val="0"/>
          <w:color w:val="1A1A1A"/>
        </w:rPr>
        <w:t xml:space="preserve">uniopen 官網說明該平台整合會員、點數與支付服務；自 2025 年 7 月 1 日起，既有 OPENPOINT 點數會員轉為 uniopen 會員，原帳號、資料、點數與權益保留。一般會員點數與活動除基本回饋外，也可能依個別公告提供加贈點、優惠券或會員限定優惠，須符合當次活動規則。</w:t>
      </w:r>
      <w:r>
        <w:rPr>
          <w:rFonts w:ascii="PingFang TC" w:hAnsi="PingFang TC" w:cs="PingFang TC"/>
          <w:sz w:val="32"/>
          <w:sz-cs w:val="32"/>
          <w:u w:val="single"/>
          <w:spacing w:val="0"/>
          <w:color w:val="1A1A1A"/>
        </w:rPr>
        <w:t xml:space="preserve">uniopen 會員頁</w:t>
      </w:r>
      <w:r>
        <w:rPr>
          <w:rFonts w:ascii="PingFang TC" w:hAnsi="PingFang TC" w:cs="PingFang TC"/>
          <w:sz w:val="32"/>
          <w:sz-cs w:val="32"/>
          <w:spacing w:val="0"/>
          <w:color w:val="1A1A1A"/>
        </w:rPr>
        <w:t xml:space="preserve">；</w:t>
      </w:r>
      <w:r>
        <w:rPr>
          <w:rFonts w:ascii="PingFang TC" w:hAnsi="PingFang TC" w:cs="PingFang TC"/>
          <w:sz w:val="32"/>
          <w:sz-cs w:val="32"/>
          <w:u w:val="single"/>
          <w:spacing w:val="0"/>
          <w:color w:val="1A1A1A"/>
        </w:rPr>
        <w:t xml:space="preserve">OPENPOINT 點數規則</w:t>
      </w:r>
      <w:r>
        <w:rPr>
          <w:rFonts w:ascii="PingFang TC" w:hAnsi="PingFang TC" w:cs="PingFang TC"/>
          <w:sz w:val="32"/>
          <w:sz-cs w:val="32"/>
          <w:spacing w:val="0"/>
          <w:color w:val="1A1A1A"/>
        </w:rPr>
        <w:t xml:space="preserve"/>
      </w:r>
    </w:p>
    <w:p>
      <w:pPr>
        <w:jc w:val="both"/>
        <w:ind w:first-line="640"/>
        <w:spacing w:after="256"/>
      </w:pPr>
      <w:r>
        <w:rPr>
          <w:rFonts w:ascii="PingFang TC" w:hAnsi="PingFang TC" w:cs="PingFang TC"/>
          <w:sz w:val="32"/>
          <w:sz-cs w:val="32"/>
          <w:spacing w:val="0"/>
          <w:color w:val="1A1A1A"/>
        </w:rPr>
        <w:t xml:space="preserve">統一超商官方簡報列出 2025 年會員人數突破 1,900 萬，2026 年 2 月新聞稿另稱服務會員數達 1,950 萬。兩者日期及表述不同，應分別引用，不逕自合併或推算成長。這些數字說明公司公布的會員規模，不能直接代表會員忠誠、滿意或回購。會員資料也提及 PRIMA 訂閱會員的消費金額與來店頻次高於一般會員，但公司新聞稿沒有完整揭露期間、樣本、會員定義或控制條件，因此只能作為企業公布的比較，不能據此認定訂閱導致消費或來店增加。</w:t>
      </w:r>
    </w:p>
    <w:p>
      <w:pPr>
        <w:jc w:val="both"/>
        <w:ind w:first-line="640"/>
        <w:spacing w:after="256"/>
      </w:pPr>
      <w:r>
        <w:rPr>
          <w:rFonts w:ascii="PingFang TC Semibold" w:hAnsi="PingFang TC Semibold" w:cs="PingFang TC Semibold"/>
          <w:sz w:val="32"/>
          <w:sz-cs w:val="32"/>
          <w:b/>
          <w:spacing w:val="0"/>
          <w:color w:val="1A1A1A"/>
        </w:rPr>
        <w:t xml:space="preserve">研究者分析：</w:t>
      </w:r>
      <w:r>
        <w:rPr>
          <w:rFonts w:ascii="PingFang TC" w:hAnsi="PingFang TC" w:cs="PingFang TC"/>
          <w:sz w:val="32"/>
          <w:sz-cs w:val="32"/>
          <w:spacing w:val="0"/>
          <w:color w:val="1A1A1A"/>
        </w:rPr>
        <w:t xml:space="preserve">會員優惠可從可能的價格利益與取得資格兩方面整理。會員帳戶整合可能減少分散使用會員和點數的步驟；但會員註冊、出示資格或滿足指定支付條件仍需要時間與操作。以上為制度功能及條件的理論解讀，不能代替會員實際使用經驗，也不足以證明會員比非會員更忠誠。</w:t>
      </w:r>
    </w:p>
    <w:p>
      <w:pPr>
        <w:spacing w:after="186"/>
      </w:pPr>
      <w:r>
        <w:rPr>
          <w:rFonts w:ascii="PingFang TC Semibold" w:hAnsi="PingFang TC Semibold" w:cs="PingFang TC Semibold"/>
          <w:sz w:val="37"/>
          <w:sz-cs w:val="37"/>
          <w:b/>
          <w:spacing w:val="0"/>
          <w:color w:val="1A1A1A"/>
        </w:rPr>
        <w:t xml:space="preserve">5.3 APP 與數位優惠</w:t>
      </w:r>
    </w:p>
    <w:p>
      <w:pPr>
        <w:jc w:val="both"/>
        <w:ind w:first-line="640"/>
        <w:spacing w:after="256"/>
      </w:pPr>
      <w:r>
        <w:rPr>
          <w:rFonts w:ascii="PingFang TC Semibold" w:hAnsi="PingFang TC Semibold" w:cs="PingFang TC Semibold"/>
          <w:sz w:val="32"/>
          <w:sz-cs w:val="32"/>
          <w:b/>
          <w:spacing w:val="0"/>
          <w:color w:val="1A1A1A"/>
        </w:rPr>
        <w:t xml:space="preserve">官方資料：</w:t>
      </w:r>
      <w:r>
        <w:rPr>
          <w:rFonts w:ascii="PingFang TC" w:hAnsi="PingFang TC" w:cs="PingFang TC"/>
          <w:sz w:val="32"/>
          <w:sz-cs w:val="32"/>
          <w:spacing w:val="0"/>
          <w:color w:val="1A1A1A"/>
        </w:rPr>
        <w:t xml:space="preserve">OPENPOINT APP 可查詢點數、兌換商品或優惠券，並使用支付及折抵功能。官方活動可透過 APP 或活動頁提供特定優惠，使用時須依券面或活動規則符合品項、期限、通路、消費門檻及不可併用等條件。統一超商年報將 i 預購列為線上預購／銷售平台，i 划算則串接 i 預購並提供門市團購工具及優惠價；各商品下單、付款、取貨與活動資格依個別頁面規定。</w:t>
      </w:r>
      <w:r>
        <w:rPr>
          <w:rFonts w:ascii="PingFang TC" w:hAnsi="PingFang TC" w:cs="PingFang TC"/>
          <w:sz w:val="32"/>
          <w:sz-cs w:val="32"/>
          <w:u w:val="single"/>
          <w:spacing w:val="0"/>
          <w:color w:val="1A1A1A"/>
        </w:rPr>
        <w:t xml:space="preserve">2025 年年報</w:t>
      </w:r>
      <w:r>
        <w:rPr>
          <w:rFonts w:ascii="PingFang TC" w:hAnsi="PingFang TC" w:cs="PingFang TC"/>
          <w:sz w:val="32"/>
          <w:sz-cs w:val="32"/>
          <w:spacing w:val="0"/>
          <w:color w:val="1A1A1A"/>
        </w:rPr>
        <w:t xml:space="preserve">；</w:t>
      </w:r>
      <w:r>
        <w:rPr>
          <w:rFonts w:ascii="PingFang TC" w:hAnsi="PingFang TC" w:cs="PingFang TC"/>
          <w:sz w:val="32"/>
          <w:sz-cs w:val="32"/>
          <w:u w:val="single"/>
          <w:spacing w:val="0"/>
          <w:color w:val="1A1A1A"/>
        </w:rPr>
        <w:t xml:space="preserve">2026 年 618 官方新聞稿</w:t>
      </w:r>
      <w:r>
        <w:rPr>
          <w:rFonts w:ascii="PingFang TC" w:hAnsi="PingFang TC" w:cs="PingFang TC"/>
          <w:sz w:val="32"/>
          <w:sz-cs w:val="32"/>
          <w:spacing w:val="0"/>
          <w:color w:val="1A1A1A"/>
        </w:rPr>
        <w:t xml:space="preserve"/>
      </w:r>
    </w:p>
    <w:p>
      <w:pPr>
        <w:jc w:val="both"/>
        <w:ind w:first-line="640"/>
        <w:spacing w:after="256"/>
      </w:pPr>
      <w:r>
        <w:rPr>
          <w:rFonts w:ascii="PingFang TC Semibold" w:hAnsi="PingFang TC Semibold" w:cs="PingFang TC Semibold"/>
          <w:sz w:val="32"/>
          <w:sz-cs w:val="32"/>
          <w:b/>
          <w:spacing w:val="0"/>
          <w:color w:val="1A1A1A"/>
        </w:rPr>
        <w:t xml:space="preserve">研究者分析：</w:t>
      </w:r>
      <w:r>
        <w:rPr>
          <w:rFonts w:ascii="PingFang TC" w:hAnsi="PingFang TC" w:cs="PingFang TC"/>
          <w:sz w:val="32"/>
          <w:sz-cs w:val="32"/>
          <w:spacing w:val="0"/>
          <w:color w:val="1A1A1A"/>
        </w:rPr>
        <w:t xml:space="preserve">數位服務可能提供集中查詢、線上選購、點數折抵或取貨安排等便利線索；相對地，消費者可能需要裝置、登入、查找優惠、預先下單或配合指定取貨時間。這些成本是否實際發生，須依服務個案判讀，不能概括套用至每筆交易。公司公布 2024 年線上服務及銷售平台交易筆數占比 11.59%、線上營收占個體營收 6.2%，僅能作為整體數位通路背景，不能證明顧客對 APP 的便利感、優惠使用率或知覺價值。</w:t>
      </w:r>
    </w:p>
    <w:p>
      <w:pPr>
        <w:spacing w:after="186"/>
      </w:pPr>
      <w:r>
        <w:rPr>
          <w:rFonts w:ascii="PingFang TC Semibold" w:hAnsi="PingFang TC Semibold" w:cs="PingFang TC Semibold"/>
          <w:sz w:val="37"/>
          <w:sz-cs w:val="37"/>
          <w:b/>
          <w:spacing w:val="0"/>
          <w:color w:val="1A1A1A"/>
        </w:rPr>
        <w:t xml:space="preserve">5.4 PRIMA 訂閱制</w:t>
      </w:r>
    </w:p>
    <w:p>
      <w:pPr>
        <w:jc w:val="both"/>
        <w:ind w:first-line="640"/>
        <w:spacing w:after="256"/>
      </w:pPr>
      <w:r>
        <w:rPr>
          <w:rFonts w:ascii="PingFang TC Semibold" w:hAnsi="PingFang TC Semibold" w:cs="PingFang TC Semibold"/>
          <w:sz w:val="32"/>
          <w:sz-cs w:val="32"/>
          <w:b/>
          <w:spacing w:val="0"/>
          <w:color w:val="1A1A1A"/>
        </w:rPr>
        <w:t xml:space="preserve">官方資料：</w:t>
      </w:r>
      <w:r>
        <w:rPr>
          <w:rFonts w:ascii="PingFang TC" w:hAnsi="PingFang TC" w:cs="PingFang TC"/>
          <w:sz w:val="32"/>
          <w:sz-cs w:val="32"/>
          <w:spacing w:val="0"/>
          <w:color w:val="1A1A1A"/>
        </w:rPr>
        <w:t xml:space="preserve">PRIMA 權益頁查閱時列出 365 日年費優惠 888 元、指定類別消費 5% OPENPOINT 回饋（每月上限 300 點）、生日飲品兌換券及合作通路優惠。服務條款載明可用 OPEN 錢包或 icash Pay 付款、期滿前自動續訂，以及首次訂閱的試用與退款條件。指定品類、交易排除項目、點數效期及各優惠券使用期限均會影響權益適用範圍。</w:t>
      </w:r>
      <w:r>
        <w:rPr>
          <w:rFonts w:ascii="PingFang TC" w:hAnsi="PingFang TC" w:cs="PingFang TC"/>
          <w:sz w:val="32"/>
          <w:sz-cs w:val="32"/>
          <w:u w:val="single"/>
          <w:spacing w:val="0"/>
          <w:color w:val="1A1A1A"/>
        </w:rPr>
        <w:t xml:space="preserve">PRIMA 權益頁</w:t>
      </w:r>
      <w:r>
        <w:rPr>
          <w:rFonts w:ascii="PingFang TC" w:hAnsi="PingFang TC" w:cs="PingFang TC"/>
          <w:sz w:val="32"/>
          <w:sz-cs w:val="32"/>
          <w:spacing w:val="0"/>
          <w:color w:val="1A1A1A"/>
        </w:rPr>
        <w:t xml:space="preserve">；</w:t>
      </w:r>
      <w:r>
        <w:rPr>
          <w:rFonts w:ascii="PingFang TC" w:hAnsi="PingFang TC" w:cs="PingFang TC"/>
          <w:sz w:val="32"/>
          <w:sz-cs w:val="32"/>
          <w:u w:val="single"/>
          <w:spacing w:val="0"/>
          <w:color w:val="1A1A1A"/>
        </w:rPr>
        <w:t xml:space="preserve">PRIMA 服務條款</w:t>
      </w:r>
      <w:r>
        <w:rPr>
          <w:rFonts w:ascii="PingFang TC" w:hAnsi="PingFang TC" w:cs="PingFang TC"/>
          <w:sz w:val="32"/>
          <w:sz-cs w:val="32"/>
          <w:spacing w:val="0"/>
          <w:color w:val="1A1A1A"/>
        </w:rPr>
        <w:t xml:space="preserve"/>
      </w:r>
    </w:p>
    <w:p>
      <w:pPr>
        <w:jc w:val="both"/>
        <w:ind w:first-line="640"/>
        <w:spacing w:after="256"/>
      </w:pPr>
      <w:r>
        <w:rPr>
          <w:rFonts w:ascii="PingFang TC Semibold" w:hAnsi="PingFang TC Semibold" w:cs="PingFang TC Semibold"/>
          <w:sz w:val="32"/>
          <w:sz-cs w:val="32"/>
          <w:b/>
          <w:spacing w:val="0"/>
          <w:color w:val="1A1A1A"/>
        </w:rPr>
        <w:t xml:space="preserve">資料差異與分析：</w:t>
      </w:r>
      <w:r>
        <w:rPr>
          <w:rFonts w:ascii="PingFang TC" w:hAnsi="PingFang TC" w:cs="PingFang TC"/>
          <w:sz w:val="32"/>
          <w:sz-cs w:val="32"/>
          <w:spacing w:val="0"/>
          <w:color w:val="1A1A1A"/>
        </w:rPr>
        <w:t xml:space="preserve">uniopen 一般會員介紹頁另列年繳 711 元可升級 PRIMA，與專頁的限時 888 元資訊不同；現有資料沒有清楚說明兩種價格的適用方案或期間，本文保留差異，不選定單一價格。從 Zeithaml 的觀點，可把訂閱費視為明示金錢成本，把指定消費類別、回饋上限、自動續訂及優惠期限列為條件；點數、生日券及合作優惠則是可能取得的利益。公司頁面列示的權益價值不是每位訂閱者實際節省的金額，也不能僅憑方案內容判斷是否划算。企業公布的訂閱會員消費及來店比較欠缺完整方法資料，不能寫成訂閱造成的成效。</w:t>
      </w:r>
    </w:p>
    <w:p>
      <w:pPr>
        <w:spacing w:after="186"/>
      </w:pPr>
      <w:r>
        <w:rPr>
          <w:rFonts w:ascii="PingFang TC Semibold" w:hAnsi="PingFang TC Semibold" w:cs="PingFang TC Semibold"/>
          <w:sz w:val="37"/>
          <w:sz-cs w:val="37"/>
          <w:b/>
          <w:spacing w:val="0"/>
          <w:color w:val="1A1A1A"/>
        </w:rPr>
        <w:t xml:space="preserve">5.5 顧客知覺價值：利益與成本</w:t>
      </w:r>
    </w:p>
    <w:p>
      <w:pPr>
        <w:jc w:val="both"/>
        <w:ind w:first-line="640"/>
        <w:spacing w:after="256"/>
      </w:pPr>
      <w:r>
        <w:rPr>
          <w:rFonts w:ascii="PingFang TC" w:hAnsi="PingFang TC" w:cs="PingFang TC"/>
          <w:sz w:val="32"/>
          <w:sz-cs w:val="32"/>
          <w:spacing w:val="0"/>
          <w:color w:val="1A1A1A"/>
        </w:rPr>
        <w:t xml:space="preserve">本研究以 Zeithaml（1988）的整體權衡概念作為主架構：顧客知覺價值涉及其認為「得到什麼」及「付出什麼」。就本章資料而言，官方制度可確認的利益包括點數回饋與折抵、會員優惠、數位券、線上購買或取貨服務，以及 PRIMA 權益；明示成本或條件包括訂閱費、指定支付工具、消費門檻、商品範圍、效期、回饋上限、註冊及使用流程。官方提供這些項目是資料事實，將它們整理成可能利益或成本則是研究者分析；顧客是否在意、是否使用，以及如何權衡，目前沒有直接證據。</w:t>
      </w:r>
    </w:p>
    <w:p>
      <w:pPr>
        <w:jc w:val="both"/>
        <w:ind w:first-line="640"/>
        <w:spacing w:after="256"/>
      </w:pPr>
      <w:r>
        <w:rPr>
          <w:rFonts w:ascii="PingFang TC" w:hAnsi="PingFang TC" w:cs="PingFang TC"/>
          <w:sz w:val="32"/>
          <w:sz-cs w:val="32"/>
          <w:spacing w:val="0"/>
          <w:color w:val="1A1A1A"/>
        </w:rPr>
        <w:t xml:space="preserve">Sweeney 與 Soutar（2001）的 PERVAL 包含價格／物有所值等價值構面，可作為分類分析的參考；其量表原用於耐久消費品品牌。本研究沒有進行 PERVAL 問卷，因此不計算或宣稱 7-ELEVEN 顧客的實際知覺價值。Chandon、Wansink 與 Laurent（2000）的促銷利益架構可協助辨認優惠可能帶來的實用利益，例如節省支出或購物便利，但不能證明顧客已感受到這些利益，亦不能證明購買意願或銷售增加。</w:t>
      </w:r>
    </w:p>
    <w:p>
      <w:pPr>
        <w:spacing w:after="186"/>
      </w:pPr>
      <w:r>
        <w:rPr>
          <w:rFonts w:ascii="PingFang TC Semibold" w:hAnsi="PingFang TC Semibold" w:cs="PingFang TC Semibold"/>
          <w:sz w:val="37"/>
          <w:sz-cs w:val="37"/>
          <w:b/>
          <w:spacing w:val="0"/>
          <w:color w:val="1A1A1A"/>
        </w:rPr>
        <w:t xml:space="preserve">5.6 綜合分析</w:t>
      </w:r>
    </w:p>
    <w:p>
      <w:pPr>
        <w:jc w:val="both"/>
        <w:ind w:first-line="640"/>
        <w:spacing w:after="256"/>
      </w:pPr>
      <w:r>
        <w:rPr>
          <w:rFonts w:ascii="PingFang TC" w:hAnsi="PingFang TC" w:cs="PingFang TC"/>
          <w:sz w:val="32"/>
          <w:sz-cs w:val="32"/>
          <w:spacing w:val="0"/>
          <w:color w:val="1A1A1A"/>
        </w:rPr>
        <w:t xml:space="preserve">綜合而言，OPENPOINT 將消費回饋連結至點數兌換或折抵；會員活動、數位優惠與 PRIMA 則各有資格、費用或使用條件。以知覺價值架構分析時，可逐項比較官方明示的利益、顧客取得利益需符合的條件，以及未能由資料確認的主觀感受。不同方案不宜只比較名目回饋率或權益清單，還須保留點數效期、支付資格、品類排除、上限、自動續訂與券面條件等資訊。</w:t>
      </w:r>
    </w:p>
    <w:p>
      <w:pPr>
        <w:jc w:val="both"/>
        <w:ind w:first-line="640"/>
        <w:spacing w:after="256"/>
      </w:pPr>
      <w:r>
        <w:rPr>
          <w:rFonts w:ascii="PingFang TC" w:hAnsi="PingFang TC" w:cs="PingFang TC"/>
          <w:sz w:val="32"/>
          <w:sz-cs w:val="32"/>
          <w:spacing w:val="0"/>
          <w:color w:val="1A1A1A"/>
        </w:rPr>
        <w:t xml:space="preserve">目前公司公布的會員數、活動參與人次、訂閱會員消費比較及數位通路占比，可描述制度或通路規模，但缺乏消費者態度資料與完整方法，不能作為知覺價值、滿意度或忠誠度的直接測量，也不能證明會員制度、APP 或訂閱制造成消費行為變化。因此，本研究的分析限於官方資料所呈現的制度、利益線索與使用成本，不對消費者普遍反應作結論。</w:t>
      </w:r>
    </w:p>
    <w:p>
      <w:pPr>
        <w:spacing w:after="186"/>
      </w:pPr>
      <w:r>
        <w:rPr>
          <w:rFonts w:ascii="PingFang TC Semibold" w:hAnsi="PingFang TC Semibold" w:cs="PingFang TC Semibold"/>
          <w:sz w:val="37"/>
          <w:sz-cs w:val="37"/>
          <w:b/>
          <w:spacing w:val="0"/>
          <w:color w:val="1A1A1A"/>
        </w:rPr>
        <w:t xml:space="preserve">5.7 本章小結</w:t>
      </w:r>
    </w:p>
    <w:p>
      <w:pPr>
        <w:jc w:val="both"/>
        <w:ind w:first-line="640"/>
        <w:spacing w:after="256"/>
      </w:pPr>
      <w:r>
        <w:rPr>
          <w:rFonts w:ascii="PingFang TC" w:hAnsi="PingFang TC" w:cs="PingFang TC"/>
          <w:sz w:val="32"/>
          <w:sz-cs w:val="32"/>
          <w:spacing w:val="0"/>
          <w:color w:val="1A1A1A"/>
        </w:rPr>
        <w:t xml:space="preserve">本章整理 OPENPOINT 點數、會員制度、APP／數位服務及 PRIMA 訂閱方案的官方規則，並以 Zeithaml 的所得／付出觀點、PERVAL 價格價值構面及 Chandon 等人的促銷利益架構，建立可能利益與成本的分析方式。點數效期、PRIMA 711 元與 888 元價格差異及企業公布的會員比較均保留其限制。現有資料說明企業提供哪些權益與條件，但不能確認消費者實際感受、忠誠或因果效果；後續結論須維持此界線。</w:t>
      </w:r>
    </w:p>
    <w:p>
      <w:pPr>
        <w:jc w:val="center"/>
        <w:spacing w:after="384"/>
      </w:pPr>
      <w:r>
        <w:rPr>
          <w:rFonts w:ascii="PingFang TC Semibold" w:hAnsi="PingFang TC Semibold" w:cs="PingFang TC Semibold"/>
          <w:sz w:val="48"/>
          <w:sz-cs w:val="48"/>
          <w:b/>
          <w:spacing w:val="0"/>
          <w:color w:val="1A1A1A"/>
        </w:rPr>
        <w:t xml:space="preserve">第六章 結論與建議</w:t>
      </w:r>
    </w:p>
    <w:p>
      <w:pPr>
        <w:spacing w:after="186"/>
      </w:pPr>
      <w:r>
        <w:rPr>
          <w:rFonts w:ascii="PingFang TC Semibold" w:hAnsi="PingFang TC Semibold" w:cs="PingFang TC Semibold"/>
          <w:sz w:val="37"/>
          <w:sz-cs w:val="37"/>
          <w:b/>
          <w:spacing w:val="0"/>
          <w:color w:val="1A1A1A"/>
        </w:rPr>
        <w:t xml:space="preserve">6.1 研究發現</w:t>
      </w:r>
    </w:p>
    <w:p>
      <w:pPr>
        <w:jc w:val="both"/>
        <w:ind w:first-line="640"/>
        <w:spacing w:after="256"/>
      </w:pPr>
      <w:r>
        <w:rPr>
          <w:rFonts w:ascii="PingFang TC" w:hAnsi="PingFang TC" w:cs="PingFang TC"/>
          <w:sz w:val="32"/>
          <w:sz-cs w:val="32"/>
          <w:spacing w:val="0"/>
          <w:color w:val="1A1A1A"/>
        </w:rPr>
        <w:t xml:space="preserve">本研究以台灣 7-ELEVEN 為個案，依官方公開資料整理商品促銷、會員制度、點數回饋、數位服務與訂閱方案，並以行銷學理論辨識其中可能的利益與成本。前三項研究問題可作以下回應。</w:t>
      </w:r>
    </w:p>
    <w:p>
      <w:pPr>
        <w:jc w:val="both"/>
        <w:ind w:first-line="640"/>
        <w:spacing w:after="256"/>
      </w:pPr>
      <w:r>
        <w:rPr>
          <w:rFonts w:ascii="PingFang TC" w:hAnsi="PingFang TC" w:cs="PingFang TC"/>
          <w:sz w:val="32"/>
          <w:sz-cs w:val="32"/>
          <w:spacing w:val="0"/>
          <w:color w:val="1A1A1A"/>
        </w:rPr>
        <w:t xml:space="preserve">第一，現有官方資料呈現的價格促銷形式包括指定商品特價、限時優惠、多件總價、第二件優惠、買一送一、商品組合，以及與會員點數或支付方式連結的回饋。部分預購或行動隨時取方案亦將多件商品與線上訂購、兌領服務一併提供。這些資料足以描述特定活動的價格呈現方式與規則，但不能代表完整的一般商品售價表或企業長期定價政策。活動品項、期間、門市供應、購買數量、會員資格與不可併用等條件，均須依個別公告保留。</w:t>
      </w:r>
    </w:p>
    <w:p>
      <w:pPr>
        <w:jc w:val="both"/>
        <w:ind w:first-line="640"/>
        <w:spacing w:after="256"/>
      </w:pPr>
      <w:r>
        <w:rPr>
          <w:rFonts w:ascii="PingFang TC" w:hAnsi="PingFang TC" w:cs="PingFang TC"/>
          <w:sz w:val="32"/>
          <w:sz-cs w:val="32"/>
          <w:spacing w:val="0"/>
          <w:color w:val="1A1A1A"/>
        </w:rPr>
        <w:t xml:space="preserve">第二，已確認資料可辨識方案所列的可能利益與取得條件。可能利益包括活動商品的價格優惠、點數回饋或折抵、會員券，以及線上選購和取貨服務；相應條件則包括購買指定商品或數量、達到消費門檻、使用指定支付方式、在有效期內兌換、支付訂閱費及符合回饋品類限制。此處的「可能利益」是依官方制度及學理整理的分析項目，並非已確認的顧客感受或實際節省金額。</w:t>
      </w:r>
    </w:p>
    <w:p>
      <w:pPr>
        <w:jc w:val="both"/>
        <w:ind w:first-line="640"/>
        <w:spacing w:after="256"/>
      </w:pPr>
      <w:r>
        <w:rPr>
          <w:rFonts w:ascii="PingFang TC" w:hAnsi="PingFang TC" w:cs="PingFang TC"/>
          <w:sz w:val="32"/>
          <w:sz-cs w:val="32"/>
          <w:spacing w:val="0"/>
          <w:color w:val="1A1A1A"/>
        </w:rPr>
        <w:t xml:space="preserve">第三，OPENPOINT 將符合規則的消費連結至點數累積、兌換或折抵；會員優惠、APP 券及數位平台活動另有資格和使用流程；PRIMA 則以訂閱費換取指定回饋及其他權益。這些制度提供比較價格利益與使用成本的個案材料，但現有資料不能判斷顧客是否認為方案划算，也不能由會員人數或企業公布的會員消費比較推論忠誠、滿意或方案成效。整體而言，本研究觀察到的是企業公開提供的措施與條件，而非消費者反應的實證結果。</w:t>
      </w:r>
    </w:p>
    <w:p>
      <w:pPr>
        <w:spacing w:after="186"/>
      </w:pPr>
      <w:r>
        <w:rPr>
          <w:rFonts w:ascii="PingFang TC Semibold" w:hAnsi="PingFang TC Semibold" w:cs="PingFang TC Semibold"/>
          <w:sz w:val="37"/>
          <w:sz-cs w:val="37"/>
          <w:b/>
          <w:spacing w:val="0"/>
          <w:color w:val="1A1A1A"/>
        </w:rPr>
        <w:t xml:space="preserve">6.2 理論意涵</w:t>
      </w:r>
    </w:p>
    <w:p>
      <w:pPr>
        <w:jc w:val="both"/>
        <w:ind w:first-line="640"/>
        <w:spacing w:after="256"/>
      </w:pPr>
      <w:r>
        <w:rPr>
          <w:rFonts w:ascii="PingFang TC" w:hAnsi="PingFang TC" w:cs="PingFang TC"/>
          <w:sz w:val="32"/>
          <w:sz-cs w:val="32"/>
          <w:spacing w:val="0"/>
          <w:color w:val="1A1A1A"/>
        </w:rPr>
        <w:t xml:space="preserve">Zeithaml（1988）的「得到與付出」觀點可用來整理活動或會員方案中明示的利益與顧客可能承擔的價格、時間及使用條件。Chandon 等人（2000）的促銷利益架構可協助分類促銷所呈現的實用利益，例如價格節省或購物便利。Sweeney 與 Soutar（2001）的 PERVAL 價格／物有所值構面則可作為分析分類參考。這些理論的用途是協助解讀個案資料及形成分析問題，不是證明 7-ELEVEN 消費者實際感受、購買意願或行為變化。本研究未施測 PERVAL，也未建立或驗證消費者心理因果模型。</w:t>
      </w:r>
    </w:p>
    <w:p>
      <w:pPr>
        <w:spacing w:after="186"/>
      </w:pPr>
      <w:r>
        <w:rPr>
          <w:rFonts w:ascii="PingFang TC Semibold" w:hAnsi="PingFang TC Semibold" w:cs="PingFang TC Semibold"/>
          <w:sz w:val="37"/>
          <w:sz-cs w:val="37"/>
          <w:b/>
          <w:spacing w:val="0"/>
          <w:color w:val="1A1A1A"/>
        </w:rPr>
        <w:t xml:space="preserve">6.3 實務建議</w:t>
      </w:r>
    </w:p>
    <w:p>
      <w:pPr>
        <w:jc w:val="both"/>
        <w:ind w:first-line="640"/>
        <w:spacing w:after="256"/>
      </w:pPr>
      <w:r>
        <w:rPr>
          <w:rFonts w:ascii="PingFang TC" w:hAnsi="PingFang TC" w:cs="PingFang TC"/>
          <w:sz w:val="32"/>
          <w:sz-cs w:val="32"/>
          <w:spacing w:val="0"/>
          <w:color w:val="1A1A1A"/>
        </w:rPr>
        <w:t xml:space="preserve">以下均為</w:t>
      </w:r>
      <w:r>
        <w:rPr>
          <w:rFonts w:ascii="PingFang TC Semibold" w:hAnsi="PingFang TC Semibold" w:cs="PingFang TC Semibold"/>
          <w:sz w:val="32"/>
          <w:sz-cs w:val="32"/>
          <w:b/>
          <w:spacing w:val="0"/>
          <w:color w:val="1A1A1A"/>
        </w:rPr>
        <w:t xml:space="preserve">研究者建議</w:t>
      </w:r>
      <w:r>
        <w:rPr>
          <w:rFonts w:ascii="PingFang TC" w:hAnsi="PingFang TC" w:cs="PingFang TC"/>
          <w:sz w:val="32"/>
          <w:sz-cs w:val="32"/>
          <w:spacing w:val="0"/>
          <w:color w:val="1A1A1A"/>
        </w:rPr>
        <w:t xml:space="preserve">，並非已經驗證有效的企業作法。第一，整理或引用優惠時，可一併呈現活動價格、適用商品、日期、數量門檻、支付資格、排除項目及兌換期限，避免讀者把促銷價誤認為一般售價。第二，討論點數或訂閱權益時，宜同時列出回饋上限、適用品類、效期、自動續訂等條件，不只呈現名目回饋或權益總值。第三，後續報告可持續區分官方事實、理論解讀與研究者推論，使讀者能判斷哪些內容有直接資料支持、哪些仍屬可能性。</w:t>
      </w:r>
    </w:p>
    <w:p>
      <w:pPr>
        <w:spacing w:after="186"/>
      </w:pPr>
      <w:r>
        <w:rPr>
          <w:rFonts w:ascii="PingFang TC Semibold" w:hAnsi="PingFang TC Semibold" w:cs="PingFang TC Semibold"/>
          <w:sz w:val="37"/>
          <w:sz-cs w:val="37"/>
          <w:b/>
          <w:spacing w:val="0"/>
          <w:color w:val="1A1A1A"/>
        </w:rPr>
        <w:t xml:space="preserve">6.4 研究限制</w:t>
      </w:r>
    </w:p>
    <w:p>
      <w:pPr>
        <w:jc w:val="both"/>
        <w:ind w:first-line="640"/>
        <w:spacing w:after="256"/>
      </w:pPr>
      <w:r>
        <w:rPr>
          <w:rFonts w:ascii="PingFang TC" w:hAnsi="PingFang TC" w:cs="PingFang TC"/>
          <w:sz w:val="32"/>
          <w:sz-cs w:val="32"/>
          <w:spacing w:val="0"/>
          <w:color w:val="1A1A1A"/>
        </w:rPr>
        <w:t xml:space="preserve">本研究有幾項重要限制。第一，現有資料缺乏完整的一般商品價格資訊，因此無法描述所有商品的常態價格或整體價格定位。第二，促銷資料未必同時提供一致規格、一般原價與活動價，故無法對所有案例進行可靠的價格差異或節省金額比較；未提供比較基準時，本研究不計算折扣率。</w:t>
      </w:r>
    </w:p>
    <w:p>
      <w:pPr>
        <w:jc w:val="both"/>
        <w:ind w:first-line="640"/>
        <w:spacing w:after="256"/>
      </w:pPr>
      <w:r>
        <w:rPr>
          <w:rFonts w:ascii="PingFang TC" w:hAnsi="PingFang TC" w:cs="PingFang TC"/>
          <w:sz w:val="32"/>
          <w:sz-cs w:val="32"/>
          <w:spacing w:val="0"/>
          <w:color w:val="1A1A1A"/>
        </w:rPr>
        <w:t xml:space="preserve">第三，本研究沒有消費者問卷、訪談或實際個人行為資料，無法確認顧客是否看見或使用優惠、如何評價利益與成本，或是否感到便利、划算及公平。第四，官方公布的會員數、參與情形或消費比較缺乏足以支持因果判斷的完整研究方法。因此，本研究無法證明促銷、會員制度、點數回饋或訂閱制造成購買意願、消費頻率、滿意度、忠誠度或營收改變。另有點數效期說明及 PRIMA 費用頁面差異等資料，正式引用前仍須依相關條款和適用期間人工確認。</w:t>
      </w:r>
    </w:p>
    <w:p>
      <w:pPr>
        <w:spacing w:after="186"/>
      </w:pPr>
      <w:r>
        <w:rPr>
          <w:rFonts w:ascii="PingFang TC Semibold" w:hAnsi="PingFang TC Semibold" w:cs="PingFang TC Semibold"/>
          <w:sz w:val="37"/>
          <w:sz-cs w:val="37"/>
          <w:b/>
          <w:spacing w:val="0"/>
          <w:color w:val="1A1A1A"/>
        </w:rPr>
        <w:t xml:space="preserve">6.5 未來研究方向</w:t>
      </w:r>
    </w:p>
    <w:p>
      <w:pPr>
        <w:jc w:val="both"/>
        <w:ind w:first-line="640"/>
        <w:spacing w:after="256"/>
      </w:pPr>
      <w:r>
        <w:rPr>
          <w:rFonts w:ascii="PingFang TC" w:hAnsi="PingFang TC" w:cs="PingFang TC"/>
          <w:sz w:val="32"/>
          <w:sz-cs w:val="32"/>
          <w:spacing w:val="0"/>
          <w:color w:val="1A1A1A"/>
        </w:rPr>
        <w:t xml:space="preserve">未來研究可在研究者另行規劃及取得適當資料後，採用消費者問卷或訪談，了解顧客如何評估金錢利益、時間與使用條件；也可分析去識別化的實際交易資料，檢視促銷前後或不同方案使用者的行為差異。若採用上述方法，應交代樣本、指標、比較期間及研究設計，才能評估相關性或因果關係。本研究目前未進行問卷、訪談或交易資料分析，這些僅為後續研究方向。未來亦可先補足一般售價與促銷價的可比資料，並釐清會員點數及 PRIMA 權益的適用口徑，再擴大分析範圍。</w:t>
      </w:r>
    </w:p>
    <w:p>
      <w:pPr>
        <w:jc w:val="center"/>
        <w:spacing w:after="384"/>
      </w:pPr>
      <w:r>
        <w:rPr>
          <w:rFonts w:ascii="PingFang TC Semibold" w:hAnsi="PingFang TC Semibold" w:cs="PingFang TC Semibold"/>
          <w:sz w:val="48"/>
          <w:sz-cs w:val="48"/>
          <w:b/>
          <w:spacing w:val="0"/>
          <w:color w:val="1A1A1A"/>
        </w:rPr>
        <w:t xml:space="preserve">參考文獻</w:t>
      </w:r>
    </w:p>
    <w:p>
      <w:pPr>
        <w:spacing w:after="186"/>
      </w:pPr>
      <w:r>
        <w:rPr>
          <w:rFonts w:ascii="PingFang TC Semibold" w:hAnsi="PingFang TC Semibold" w:cs="PingFang TC Semibold"/>
          <w:sz w:val="37"/>
          <w:sz-cs w:val="37"/>
          <w:b/>
          <w:spacing w:val="0"/>
          <w:color w:val="1A1A1A"/>
        </w:rPr>
        <w:t xml:space="preserve">一、學術文獻</w:t>
      </w:r>
    </w:p>
    <w:p>
      <w:pPr>
        <w:jc w:val="both"/>
        <w:ind w:first-line="640"/>
        <w:spacing w:after="256"/>
      </w:pPr>
      <w:r>
        <w:rPr>
          <w:rFonts w:ascii="PingFang TC" w:hAnsi="PingFang TC" w:cs="PingFang TC"/>
          <w:sz w:val="32"/>
          <w:sz-cs w:val="32"/>
          <w:spacing w:val="0"/>
          <w:color w:val="1A1A1A"/>
        </w:rPr>
        <w:t xml:space="preserve">Chandon, P., Wansink, B., &amp; Laurent, G.（2000）。A Benefit Congruency Framework of Sales Promotion Effectiveness. Journal of Marketing, 64(4), 65–81. https://doi.org/10.1509/jmkg.64.4.65.18071</w:t>
      </w:r>
    </w:p>
    <w:p>
      <w:pPr>
        <w:jc w:val="both"/>
        <w:ind w:first-line="640"/>
        <w:spacing w:after="256"/>
      </w:pPr>
      <w:r>
        <w:rPr>
          <w:rFonts w:ascii="PingFang TC" w:hAnsi="PingFang TC" w:cs="PingFang TC"/>
          <w:sz w:val="32"/>
          <w:sz-cs w:val="32"/>
          <w:spacing w:val="0"/>
          <w:color w:val="1A1A1A"/>
        </w:rPr>
        <w:t xml:space="preserve">Sweeney, J. C., &amp; Soutar, G. N.（2001）。Consumer Perceived Value: The Development of a Multiple Item Scale. Journal of Retailing, 77(2), 203–220. https://doi.org/10.1016/S0022-4359(01)00041-0</w:t>
      </w:r>
    </w:p>
    <w:p>
      <w:pPr>
        <w:jc w:val="both"/>
        <w:ind w:first-line="640"/>
        <w:spacing w:after="256"/>
      </w:pPr>
      <w:r>
        <w:rPr>
          <w:rFonts w:ascii="PingFang TC" w:hAnsi="PingFang TC" w:cs="PingFang TC"/>
          <w:sz w:val="32"/>
          <w:sz-cs w:val="32"/>
          <w:spacing w:val="0"/>
          <w:color w:val="1A1A1A"/>
        </w:rPr>
        <w:t xml:space="preserve">Zeithaml, V. A.（1988）。Consumer Perceptions of Price, Quality, and Value: A Means-End Model and Synthesis of Evidence. Journal of Marketing, 52(3), 2–22. https://doi.org/10.1177/002224298805200302</w:t>
      </w:r>
    </w:p>
    <w:p>
      <w:pPr>
        <w:spacing w:after="186"/>
      </w:pPr>
      <w:r>
        <w:rPr>
          <w:rFonts w:ascii="PingFang TC Semibold" w:hAnsi="PingFang TC Semibold" w:cs="PingFang TC Semibold"/>
          <w:sz w:val="37"/>
          <w:sz-cs w:val="37"/>
          <w:b/>
          <w:spacing w:val="0"/>
          <w:color w:val="1A1A1A"/>
        </w:rPr>
        <w:t xml:space="preserve">二、官方與公開資料</w:t>
      </w:r>
    </w:p>
    <w:p>
      <w:pPr>
        <w:jc w:val="both"/>
        <w:ind w:first-line="640"/>
        <w:spacing w:after="256"/>
      </w:pPr>
      <w:r>
        <w:rPr>
          <w:rFonts w:ascii="PingFang TC" w:hAnsi="PingFang TC" w:cs="PingFang TC"/>
          <w:sz w:val="32"/>
          <w:sz-cs w:val="32"/>
          <w:spacing w:val="0"/>
          <w:color w:val="1A1A1A"/>
        </w:rPr>
        <w:t xml:space="preserve">統一超商股份有限公司（未標示日期；查閱日期：2026-10-05）。公司簡介。統一超商投資人關係網站。https://ir.7-11.com.tw/tw/companyprofile.php</w:t>
      </w:r>
    </w:p>
    <w:p>
      <w:pPr>
        <w:jc w:val="both"/>
        <w:ind w:first-line="640"/>
        <w:spacing w:after="256"/>
      </w:pPr>
      <w:r>
        <w:rPr>
          <w:rFonts w:ascii="PingFang TC" w:hAnsi="PingFang TC" w:cs="PingFang TC"/>
          <w:sz w:val="32"/>
          <w:sz-cs w:val="32"/>
          <w:spacing w:val="0"/>
          <w:color w:val="1A1A1A"/>
        </w:rPr>
        <w:t xml:space="preserve">統一超商股份有限公司（網頁持續更新；查閱日期：2026-10-05）。公司介紹／歷史大事紀。7-ELEVEN 永續發展網站。https://www.7-11.com.tw/company/esg/aboutus.aspx</w:t>
      </w:r>
    </w:p>
    <w:p>
      <w:pPr>
        <w:jc w:val="both"/>
        <w:ind w:first-line="640"/>
        <w:spacing w:after="256"/>
      </w:pPr>
      <w:r>
        <w:rPr>
          <w:rFonts w:ascii="PingFang TC" w:hAnsi="PingFang TC" w:cs="PingFang TC"/>
          <w:sz w:val="32"/>
          <w:sz-cs w:val="32"/>
          <w:spacing w:val="0"/>
          <w:color w:val="1A1A1A"/>
        </w:rPr>
        <w:t xml:space="preserve">統一超商股份有限公司（2025）。2025 年年度報告書（114 年年報）。統一超商投資人關係網站。https://ir.7-11.com.tw/taiwan/2912/annual/2025/CH/20260421092550-1.pdf（報告首頁刊印日期與檔案路徑日期有差異，發布／刊印日期待核。）</w:t>
      </w:r>
    </w:p>
    <w:p>
      <w:pPr>
        <w:jc w:val="both"/>
        <w:ind w:first-line="640"/>
        <w:spacing w:after="256"/>
      </w:pPr>
      <w:r>
        <w:rPr>
          <w:rFonts w:ascii="PingFang TC" w:hAnsi="PingFang TC" w:cs="PingFang TC"/>
          <w:sz w:val="32"/>
          <w:sz-cs w:val="32"/>
          <w:spacing w:val="0"/>
          <w:color w:val="1A1A1A"/>
        </w:rPr>
        <w:t xml:space="preserve">統一超商股份有限公司（2026-02-25）。統一超商公佈 2025 年度營運成果（近期新聞）。統一超商投資人關係網站。https://ir.7-11.com.tw/tw/news-inner.php?id=188</w:t>
      </w:r>
    </w:p>
    <w:p>
      <w:pPr>
        <w:jc w:val="both"/>
        <w:ind w:first-line="640"/>
        <w:spacing w:after="256"/>
      </w:pPr>
      <w:r>
        <w:rPr>
          <w:rFonts w:ascii="PingFang TC" w:hAnsi="PingFang TC" w:cs="PingFang TC"/>
          <w:sz w:val="32"/>
          <w:sz-cs w:val="32"/>
          <w:spacing w:val="0"/>
          <w:color w:val="1A1A1A"/>
        </w:rPr>
        <w:t xml:space="preserve">統一超商股份有限公司（2026-04-13）。2026 世界地球日門市優惠。7-ELEVEN 永續發展網站。https://www.7-11.com.tw/Company/esg/news_detail.aspx?id=1111</w:t>
      </w:r>
    </w:p>
    <w:p>
      <w:pPr>
        <w:jc w:val="both"/>
        <w:ind w:first-line="640"/>
        <w:spacing w:after="256"/>
      </w:pPr>
      <w:r>
        <w:rPr>
          <w:rFonts w:ascii="PingFang TC" w:hAnsi="PingFang TC" w:cs="PingFang TC"/>
          <w:sz w:val="32"/>
          <w:sz-cs w:val="32"/>
          <w:spacing w:val="0"/>
          <w:color w:val="1A1A1A"/>
        </w:rPr>
        <w:t xml:space="preserve">統一超商股份有限公司（2026-08-27）。2026 亞太永續博覽會「行動隨時取」永續商品優惠。7-ELEVEN 永續發展網站。https://www.7-11.com.tw/Company/esg/news_detail.aspx?id=1135</w:t>
      </w:r>
    </w:p>
    <w:p>
      <w:pPr>
        <w:jc w:val="both"/>
        <w:ind w:first-line="640"/>
        <w:spacing w:after="256"/>
      </w:pPr>
      <w:r>
        <w:rPr>
          <w:rFonts w:ascii="PingFang TC" w:hAnsi="PingFang TC" w:cs="PingFang TC"/>
          <w:sz w:val="32"/>
          <w:sz-cs w:val="32"/>
          <w:spacing w:val="0"/>
          <w:color w:val="1A1A1A"/>
        </w:rPr>
        <w:t xml:space="preserve">統一超商股份有限公司（2025-09-15）。OPENPOINT 回饋新攻略及 uniopen 聯名卡上市優惠。7-ELEVEN 永續發展網站。https://www.7-11.com.tw/Company/esg/news_detail.aspx?id=1078</w:t>
      </w:r>
    </w:p>
    <w:p>
      <w:pPr>
        <w:jc w:val="both"/>
        <w:ind w:first-line="640"/>
        <w:spacing w:after="256"/>
      </w:pPr>
      <w:r>
        <w:rPr>
          <w:rFonts w:ascii="PingFang TC" w:hAnsi="PingFang TC" w:cs="PingFang TC"/>
          <w:sz w:val="32"/>
          <w:sz-cs w:val="32"/>
          <w:spacing w:val="0"/>
          <w:color w:val="1A1A1A"/>
        </w:rPr>
        <w:t xml:space="preserve">統一超商股份有限公司（活動期間：2026-09-30 至 2026-10-27；頁面未列發布日）。代收優惠券（活動商品與優惠清單）。7-ELEVEN 官方網站。https://www.7-11.com.tw/7app/coupon/receipts.html</w:t>
      </w:r>
    </w:p>
    <w:p>
      <w:pPr>
        <w:jc w:val="both"/>
        <w:ind w:first-line="640"/>
        <w:spacing w:after="256"/>
      </w:pPr>
      <w:r>
        <w:rPr>
          <w:rFonts w:ascii="PingFang TC" w:hAnsi="PingFang TC" w:cs="PingFang TC"/>
          <w:sz w:val="32"/>
          <w:sz-cs w:val="32"/>
          <w:spacing w:val="0"/>
          <w:color w:val="1A1A1A"/>
        </w:rPr>
        <w:t xml:space="preserve">統一超商股份有限公司（未標示日期；查閱日期：2026-10-05）。OPENPOINT 點數說明與使用規則。OPENPOINT 官方網站。https://group.openpoint.com.tw/cdn/point_notice.html</w:t>
      </w:r>
    </w:p>
    <w:p>
      <w:pPr>
        <w:jc w:val="both"/>
        <w:ind w:first-line="640"/>
        <w:spacing w:after="256"/>
      </w:pPr>
      <w:r>
        <w:rPr>
          <w:rFonts w:ascii="PingFang TC" w:hAnsi="PingFang TC" w:cs="PingFang TC"/>
          <w:sz w:val="32"/>
          <w:sz-cs w:val="32"/>
          <w:spacing w:val="0"/>
          <w:color w:val="1A1A1A"/>
        </w:rPr>
        <w:t xml:space="preserve">統一超商股份有限公司（未標示日期；查閱日期：2026-10-05）。OPENPOINT 常見問題。OPENPOINT 官方網站。https://group.openpoint.com.tw/cdn/QA.html</w:t>
      </w:r>
    </w:p>
    <w:p>
      <w:pPr>
        <w:jc w:val="both"/>
        <w:ind w:first-line="640"/>
        <w:spacing w:after="256"/>
      </w:pPr>
      <w:r>
        <w:rPr>
          <w:rFonts w:ascii="PingFang TC" w:hAnsi="PingFang TC" w:cs="PingFang TC"/>
          <w:sz w:val="32"/>
          <w:sz-cs w:val="32"/>
          <w:spacing w:val="0"/>
          <w:color w:val="1A1A1A"/>
        </w:rPr>
        <w:t xml:space="preserve">統一企業集團（未標示日期；查閱日期：2026-10-05）。uniopen 會員介紹與會員福利。uniopen 官方網站。https://www.uniopen.com/member</w:t>
      </w:r>
    </w:p>
    <w:p>
      <w:pPr>
        <w:jc w:val="both"/>
        <w:ind w:first-line="640"/>
        <w:spacing w:after="256"/>
      </w:pPr>
      <w:r>
        <w:rPr>
          <w:rFonts w:ascii="PingFang TC" w:hAnsi="PingFang TC" w:cs="PingFang TC"/>
          <w:sz w:val="32"/>
          <w:sz-cs w:val="32"/>
          <w:spacing w:val="0"/>
          <w:color w:val="1A1A1A"/>
        </w:rPr>
        <w:t xml:space="preserve">統一超商股份有限公司（頁面動態更新；查閱日期：2026-10-05）。uniopen PRIMA 訂閱制權益頁。OPENPOINT 官方網站。https://event.openpoint.com.tw/uniopenprima/index.aspx</w:t>
      </w:r>
    </w:p>
    <w:p>
      <w:pPr>
        <w:jc w:val="both"/>
        <w:ind w:first-line="640"/>
        <w:spacing w:after="256"/>
      </w:pPr>
      <w:r>
        <w:rPr>
          <w:rFonts w:ascii="PingFang TC" w:hAnsi="PingFang TC" w:cs="PingFang TC"/>
          <w:sz w:val="32"/>
          <w:sz-cs w:val="32"/>
          <w:spacing w:val="0"/>
          <w:color w:val="1A1A1A"/>
        </w:rPr>
        <w:t xml:space="preserve">統一超商股份有限公司（條款頁未標示版本日期；查閱日期：2026-10-05）。uniopen PRIMA 會員訂閱制服務條款。OPENPOINT 官方網站。https://event.openpoint.com.tw/uniopenprima/terms.aspx</w:t>
      </w:r>
    </w:p>
    <w:p>
      <w:pPr>
        <w:jc w:val="both"/>
        <w:ind w:first-line="640"/>
        <w:spacing w:after="256"/>
      </w:pPr>
      <w:r>
        <w:rPr>
          <w:rFonts w:ascii="PingFang TC" w:hAnsi="PingFang TC" w:cs="PingFang TC"/>
          <w:sz w:val="32"/>
          <w:sz-cs w:val="32"/>
          <w:spacing w:val="0"/>
          <w:color w:val="1A1A1A"/>
        </w:rPr>
        <w:t xml:space="preserve">統一超商股份有限公司（2026-06-01）。618 電商購物節／自有電商平台活動新聞。7-ELEVEN 永續發展網站。https://www.7-11.com.tw/Company/esg/news_detail.aspx?id=1118</w:t>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台灣 7-ELEVEN 價格策略與顧客知覺價值之行銷分析</dc:title>
</cp:coreProperties>
</file>

<file path=docProps/meta.xml><?xml version="1.0" encoding="utf-8"?>
<meta xmlns="http://schemas.apple.com/cocoa/2006/metadata">
  <generator>CocoaOOXMLWriter/2113.65</generator>
</meta>
</file>