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rFonts w:ascii="Times New Roman" w:hAnsi="Times New Roman"/>
          <w:b/>
          <w:i w:val="0"/>
          <w:color w:val="1F497D"/>
          <w:sz w:val="32"/>
        </w:rPr>
        <w:t>BERT-Based Hate Speech Detection:</w:t>
        <w:br/>
        <w:t>Zero-Shot, Fine-Tuning, and Cascaded Classification</w:t>
      </w:r>
    </w:p>
    <w:p>
      <w:pPr>
        <w:spacing w:after="320"/>
        <w:jc w:val="center"/>
      </w:pPr>
      <w:r>
        <w:rPr>
          <w:rFonts w:ascii="Times New Roman" w:hAnsi="Times New Roman"/>
          <w:b w:val="0"/>
          <w:i/>
          <w:color w:val="404040"/>
          <w:sz w:val="22"/>
        </w:rPr>
        <w:t>COMP6713 Group Project — Model Section Report</w:t>
      </w:r>
    </w:p>
    <w:p/>
    <w:p>
      <w:pPr>
        <w:spacing w:before="280" w:after="80"/>
      </w:pPr>
      <w:r>
        <w:rPr>
          <w:rFonts w:ascii="Times New Roman" w:hAnsi="Times New Roman"/>
          <w:b/>
          <w:i w:val="0"/>
          <w:color w:val="1F497D"/>
          <w:sz w:val="26"/>
        </w:rPr>
        <w:t>1.  Zero-Shot Evaluation of Pre-trained Models  (5 Credits)</w:t>
      </w:r>
    </w:p>
    <w:p>
      <w:pPr>
        <w:spacing w:before="160" w:after="80"/>
      </w:pPr>
      <w:r>
        <w:rPr>
          <w:rFonts w:ascii="Times New Roman" w:hAnsi="Times New Roman"/>
          <w:b/>
          <w:i w:val="0"/>
          <w:sz w:val="22"/>
        </w:rPr>
        <w:t>1.1  Approach</w:t>
      </w:r>
    </w:p>
    <w:p>
      <w:pPr>
        <w:spacing w:before="0" w:after="120" w:line="260" w:lineRule="exact"/>
      </w:pPr>
      <w:r>
        <w:rPr>
          <w:rFonts w:ascii="Times New Roman" w:hAnsi="Times New Roman"/>
          <w:b w:val="0"/>
          <w:i w:val="0"/>
          <w:sz w:val="22"/>
        </w:rPr>
        <w:t>Four pre-trained models are evaluated in a zero-shot setting without any task-specific fine-tuning. For each model, [CLS] token embeddings are extracted and compared via cosine similarity against three fixed label prototype embeddings ("This is a normal, neutral, or positive comment." / "This is an offensive or rude comment using bad language." / "This is hate speech targeting a person or specific group."). No gradient updates are performed; each model is used directly out of the box.</w:t>
      </w:r>
    </w:p>
    <w:p>
      <w:pPr>
        <w:spacing w:before="0" w:after="120" w:line="260" w:lineRule="exact"/>
      </w:pPr>
      <w:r>
        <w:rPr>
          <w:rFonts w:ascii="Times New Roman" w:hAnsi="Times New Roman"/>
          <w:b w:val="0"/>
          <w:i w:val="0"/>
          <w:sz w:val="22"/>
        </w:rPr>
        <w:t>The four models evaluated are:</w:t>
      </w:r>
    </w:p>
    <w:p>
      <w:pPr>
        <w:pStyle w:val="ListBullet"/>
        <w:spacing w:after="40"/>
      </w:pPr>
      <w:r>
        <w:rPr>
          <w:rFonts w:ascii="Times New Roman" w:hAnsi="Times New Roman"/>
          <w:b w:val="0"/>
          <w:i w:val="0"/>
          <w:sz w:val="22"/>
        </w:rPr>
        <w:t>BERT-base-uncased — general-purpose encoder, no hate speech knowledge</w:t>
      </w:r>
    </w:p>
    <w:p>
      <w:pPr>
        <w:pStyle w:val="ListBullet"/>
        <w:spacing w:after="40"/>
      </w:pPr>
      <w:r>
        <w:rPr>
          <w:rFonts w:ascii="Times New Roman" w:hAnsi="Times New Roman"/>
          <w:b w:val="0"/>
          <w:i w:val="0"/>
          <w:sz w:val="22"/>
        </w:rPr>
        <w:t>HateBERT (GroNLP/hateBERT) — BERT further pre-trained on Reddit abusive content</w:t>
      </w:r>
    </w:p>
    <w:p>
      <w:pPr>
        <w:pStyle w:val="ListBullet"/>
        <w:spacing w:after="40"/>
      </w:pPr>
      <w:r>
        <w:rPr>
          <w:rFonts w:ascii="Times New Roman" w:hAnsi="Times New Roman"/>
          <w:b w:val="0"/>
          <w:i w:val="0"/>
          <w:sz w:val="22"/>
        </w:rPr>
        <w:t>Twitter-RoBERTa-base-hate (cardiffnlp/twitter-roberta-base-hate) — RoBERTa pre-trained on tweets and fine-tuned on TweetEval hate detection</w:t>
      </w:r>
    </w:p>
    <w:p>
      <w:pPr>
        <w:pStyle w:val="ListBullet"/>
        <w:spacing w:after="40"/>
      </w:pPr>
      <w:r>
        <w:rPr>
          <w:rFonts w:ascii="Times New Roman" w:hAnsi="Times New Roman"/>
          <w:b w:val="0"/>
          <w:i w:val="0"/>
          <w:sz w:val="22"/>
        </w:rPr>
        <w:t>BERTweet (vinai/bertweet-base) — RoBERTa pre-trained on 850M English tweets</w:t>
      </w:r>
    </w:p>
    <w:p>
      <w:pPr>
        <w:spacing w:before="160" w:after="80"/>
      </w:pPr>
      <w:r>
        <w:rPr>
          <w:rFonts w:ascii="Times New Roman" w:hAnsi="Times New Roman"/>
          <w:b/>
          <w:i w:val="0"/>
          <w:sz w:val="22"/>
        </w:rPr>
        <w:t>1.2  Results — HateXPlain Test Set</w:t>
      </w:r>
    </w:p>
    <w:p>
      <w:pPr>
        <w:spacing w:before="80" w:after="40"/>
        <w:jc w:val="center"/>
      </w:pPr>
      <w:r>
        <w:rPr>
          <w:rFonts w:ascii="Times New Roman" w:hAnsi="Times New Roman"/>
          <w:b w:val="0"/>
          <w:i/>
          <w:sz w:val="20"/>
        </w:rPr>
        <w:t>Table 1.  Zero-Shot Performance on HateXPlain Test Set (n = 2,012)</w:t>
      </w:r>
    </w:p>
    <w:tbl>
      <w:tblPr>
        <w:tblStyle w:val="TableGrid"/>
        <w:tblW w:type="auto" w:w="0"/>
        <w:jc w:val="center"/>
        <w:tblLook w:firstColumn="1" w:firstRow="1" w:lastColumn="0" w:lastRow="0" w:noHBand="0" w:noVBand="1" w:val="04A0"/>
      </w:tblPr>
      <w:tblGrid>
        <w:gridCol w:w="1474"/>
        <w:gridCol w:w="1474"/>
        <w:gridCol w:w="1474"/>
        <w:gridCol w:w="1474"/>
        <w:gridCol w:w="1474"/>
        <w:gridCol w:w="1474"/>
      </w:tblGrid>
      <w:tr>
        <w:tc>
          <w:tcPr>
            <w:tcW w:type="dxa" w:w="2835"/>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Model</w:t>
            </w:r>
          </w:p>
        </w:tc>
        <w:tc>
          <w:tcPr>
            <w:tcW w:type="dxa" w:w="1134"/>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Accuracy</w:t>
            </w:r>
          </w:p>
        </w:tc>
        <w:tc>
          <w:tcPr>
            <w:tcW w:type="dxa" w:w="1134"/>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Macro F1</w:t>
            </w:r>
          </w:p>
        </w:tc>
        <w:tc>
          <w:tcPr>
            <w:tcW w:type="dxa" w:w="1247"/>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F1 Normal</w:t>
            </w:r>
          </w:p>
        </w:tc>
        <w:tc>
          <w:tcPr>
            <w:tcW w:type="dxa" w:w="1587"/>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F1 Offensive</w:t>
            </w:r>
          </w:p>
        </w:tc>
        <w:tc>
          <w:tcPr>
            <w:tcW w:type="dxa" w:w="1134"/>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F1 Hate</w:t>
            </w:r>
          </w:p>
        </w:tc>
      </w:tr>
      <w:tr>
        <w:tc>
          <w:tcPr>
            <w:tcW w:type="dxa" w:w="2835"/>
            <w:shd w:val="clear" w:color="auto" w:fill="DCE6F1"/>
            <w:tcBorders>
              <w:top w:val="single" w:sz="4" w:space="0" w:color="BFBFBF"/>
              <w:left w:val="single" w:sz="4" w:space="0" w:color="BFBFBF"/>
              <w:bottom w:val="single" w:sz="4" w:space="0" w:color="BFBFBF"/>
              <w:right w:val="single" w:sz="4" w:space="0" w:color="BFBFBF"/>
            </w:tcBorders>
            <w:vAlign w:val="center"/>
          </w:tcPr>
          <w:p>
            <w:pPr>
              <w:jc w:val="left"/>
            </w:pPr>
            <w:r>
              <w:rPr>
                <w:rFonts w:ascii="Times New Roman" w:hAnsi="Times New Roman"/>
                <w:b w:val="0"/>
                <w:i w:val="0"/>
                <w:sz w:val="20"/>
              </w:rPr>
              <w:t>BERT-base-uncased</w:t>
            </w:r>
          </w:p>
        </w:tc>
        <w:tc>
          <w:tcPr>
            <w:tcW w:type="dxa" w:w="1134"/>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0.3857</w:t>
            </w:r>
          </w:p>
        </w:tc>
        <w:tc>
          <w:tcPr>
            <w:tcW w:type="dxa" w:w="1134"/>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0.2845</w:t>
            </w:r>
          </w:p>
        </w:tc>
        <w:tc>
          <w:tcPr>
            <w:tcW w:type="dxa" w:w="1247"/>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0.5450</w:t>
            </w:r>
          </w:p>
        </w:tc>
        <w:tc>
          <w:tcPr>
            <w:tcW w:type="dxa" w:w="1587"/>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0.1075</w:t>
            </w:r>
          </w:p>
        </w:tc>
        <w:tc>
          <w:tcPr>
            <w:tcW w:type="dxa" w:w="1134"/>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0.2009</w:t>
            </w:r>
          </w:p>
        </w:tc>
      </w:tr>
      <w:tr>
        <w:tc>
          <w:tcPr>
            <w:tcW w:type="dxa" w:w="2835"/>
            <w:shd w:val="clear" w:color="auto" w:fill="FFFFFF"/>
            <w:tcBorders>
              <w:top w:val="single" w:sz="4" w:space="0" w:color="BFBFBF"/>
              <w:left w:val="single" w:sz="4" w:space="0" w:color="BFBFBF"/>
              <w:bottom w:val="single" w:sz="4" w:space="0" w:color="BFBFBF"/>
              <w:right w:val="single" w:sz="4" w:space="0" w:color="BFBFBF"/>
            </w:tcBorders>
            <w:vAlign w:val="center"/>
          </w:tcPr>
          <w:p>
            <w:pPr>
              <w:jc w:val="left"/>
            </w:pPr>
            <w:r>
              <w:rPr>
                <w:rFonts w:ascii="Times New Roman" w:hAnsi="Times New Roman"/>
                <w:b w:val="0"/>
                <w:i w:val="0"/>
                <w:sz w:val="20"/>
              </w:rPr>
              <w:t>HateBERT</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0.3429</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0.3367</w:t>
            </w:r>
          </w:p>
        </w:tc>
        <w:tc>
          <w:tcPr>
            <w:tcW w:type="dxa" w:w="1247"/>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0.3693</w:t>
            </w:r>
          </w:p>
        </w:tc>
        <w:tc>
          <w:tcPr>
            <w:tcW w:type="dxa" w:w="1587"/>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0.3683</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0.2725</w:t>
            </w:r>
          </w:p>
        </w:tc>
      </w:tr>
      <w:tr>
        <w:tc>
          <w:tcPr>
            <w:tcW w:type="dxa" w:w="2835"/>
            <w:shd w:val="clear" w:color="auto" w:fill="DCE6F1"/>
            <w:tcBorders>
              <w:top w:val="single" w:sz="4" w:space="0" w:color="BFBFBF"/>
              <w:left w:val="single" w:sz="4" w:space="0" w:color="BFBFBF"/>
              <w:bottom w:val="single" w:sz="4" w:space="0" w:color="BFBFBF"/>
              <w:right w:val="single" w:sz="4" w:space="0" w:color="BFBFBF"/>
            </w:tcBorders>
            <w:vAlign w:val="center"/>
          </w:tcPr>
          <w:p>
            <w:pPr>
              <w:jc w:val="left"/>
            </w:pPr>
            <w:r>
              <w:rPr>
                <w:rFonts w:ascii="Times New Roman" w:hAnsi="Times New Roman"/>
                <w:b w:val="0"/>
                <w:i w:val="0"/>
                <w:sz w:val="20"/>
              </w:rPr>
              <w:t>Twitter-RoBERTa-base-hate</w:t>
            </w:r>
          </w:p>
        </w:tc>
        <w:tc>
          <w:tcPr>
            <w:tcW w:type="dxa" w:w="1134"/>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0.3454</w:t>
            </w:r>
          </w:p>
        </w:tc>
        <w:tc>
          <w:tcPr>
            <w:tcW w:type="dxa" w:w="1134"/>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0.3307</w:t>
            </w:r>
          </w:p>
        </w:tc>
        <w:tc>
          <w:tcPr>
            <w:tcW w:type="dxa" w:w="1247"/>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0.2547</w:t>
            </w:r>
          </w:p>
        </w:tc>
        <w:tc>
          <w:tcPr>
            <w:tcW w:type="dxa" w:w="1587"/>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0.4265</w:t>
            </w:r>
          </w:p>
        </w:tc>
        <w:tc>
          <w:tcPr>
            <w:tcW w:type="dxa" w:w="1134"/>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0.3109</w:t>
            </w:r>
          </w:p>
        </w:tc>
      </w:tr>
      <w:tr>
        <w:tc>
          <w:tcPr>
            <w:tcW w:type="dxa" w:w="2835"/>
            <w:shd w:val="clear" w:color="auto" w:fill="FFFFFF"/>
            <w:tcBorders>
              <w:top w:val="single" w:sz="4" w:space="0" w:color="BFBFBF"/>
              <w:left w:val="single" w:sz="4" w:space="0" w:color="BFBFBF"/>
              <w:bottom w:val="single" w:sz="4" w:space="0" w:color="BFBFBF"/>
              <w:right w:val="single" w:sz="4" w:space="0" w:color="BFBFBF"/>
            </w:tcBorders>
            <w:vAlign w:val="center"/>
          </w:tcPr>
          <w:p>
            <w:pPr>
              <w:jc w:val="left"/>
            </w:pPr>
            <w:r>
              <w:rPr>
                <w:rFonts w:ascii="Times New Roman" w:hAnsi="Times New Roman"/>
                <w:b w:val="0"/>
                <w:i w:val="0"/>
                <w:sz w:val="20"/>
              </w:rPr>
              <w:t>BERTweet</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0.3131</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0.2538</w:t>
            </w:r>
          </w:p>
        </w:tc>
        <w:tc>
          <w:tcPr>
            <w:tcW w:type="dxa" w:w="1247"/>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0.4082</w:t>
            </w:r>
          </w:p>
        </w:tc>
        <w:tc>
          <w:tcPr>
            <w:tcW w:type="dxa" w:w="1587"/>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0.3262</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0.0269</w:t>
            </w:r>
          </w:p>
        </w:tc>
      </w:tr>
    </w:tbl>
    <w:tbl>
      <w:tblPr>
        <w:tblW w:type="auto" w:w="0"/>
        <w:jc w:val="center"/>
        <w:tblLook w:firstColumn="1" w:firstRow="1" w:lastColumn="0" w:lastRow="0" w:noHBand="0" w:noVBand="1" w:val="04A0"/>
      </w:tblPr>
      <w:tblGrid>
        <w:gridCol w:w="4421"/>
        <w:gridCol w:w="4421"/>
      </w:tblGrid>
      <w:tr>
        <w:tc>
          <w:tcPr>
            <w:tcW w:type="dxa" w:w="4421"/>
            <w:tcBorders>
              <w:top w:val="none"/>
              <w:left w:val="none"/>
              <w:bottom w:val="none"/>
              <w:right w:val="none"/>
              <w:insideH w:val="none"/>
              <w:insideV w:val="none"/>
            </w:tcBorders>
          </w:tcPr>
          <w:p>
            <w:pPr>
              <w:jc w:val="center"/>
            </w:pPr>
            <w:r>
              <w:drawing>
                <wp:inline xmlns:a="http://schemas.openxmlformats.org/drawingml/2006/main" xmlns:pic="http://schemas.openxmlformats.org/drawingml/2006/picture">
                  <wp:extent cx="2560320" cy="2133600"/>
                  <wp:docPr id="1" name="Picture 1"/>
                  <wp:cNvGraphicFramePr>
                    <a:graphicFrameLocks noChangeAspect="1"/>
                  </wp:cNvGraphicFramePr>
                  <a:graphic>
                    <a:graphicData uri="http://schemas.openxmlformats.org/drawingml/2006/picture">
                      <pic:pic>
                        <pic:nvPicPr>
                          <pic:cNvPr id="0" name="zeroshot_BERT-base-uncased_HateXPlain_cm.png"/>
                          <pic:cNvPicPr/>
                        </pic:nvPicPr>
                        <pic:blipFill>
                          <a:blip r:embed="rId9"/>
                          <a:stretch>
                            <a:fillRect/>
                          </a:stretch>
                        </pic:blipFill>
                        <pic:spPr>
                          <a:xfrm>
                            <a:off x="0" y="0"/>
                            <a:ext cx="2560320" cy="2133600"/>
                          </a:xfrm>
                          <a:prstGeom prst="rect"/>
                        </pic:spPr>
                      </pic:pic>
                    </a:graphicData>
                  </a:graphic>
                </wp:inline>
              </w:drawing>
            </w:r>
          </w:p>
        </w:tc>
        <w:tc>
          <w:tcPr>
            <w:tcW w:type="dxa" w:w="4421"/>
            <w:tcBorders>
              <w:top w:val="none"/>
              <w:left w:val="none"/>
              <w:bottom w:val="none"/>
              <w:right w:val="none"/>
              <w:insideH w:val="none"/>
              <w:insideV w:val="none"/>
            </w:tcBorders>
          </w:tcPr>
          <w:p>
            <w:pPr>
              <w:jc w:val="center"/>
            </w:pPr>
            <w:r>
              <w:drawing>
                <wp:inline xmlns:a="http://schemas.openxmlformats.org/drawingml/2006/main" xmlns:pic="http://schemas.openxmlformats.org/drawingml/2006/picture">
                  <wp:extent cx="2560320" cy="2133600"/>
                  <wp:docPr id="2" name="Picture 2"/>
                  <wp:cNvGraphicFramePr>
                    <a:graphicFrameLocks noChangeAspect="1"/>
                  </wp:cNvGraphicFramePr>
                  <a:graphic>
                    <a:graphicData uri="http://schemas.openxmlformats.org/drawingml/2006/picture">
                      <pic:pic>
                        <pic:nvPicPr>
                          <pic:cNvPr id="0" name="zeroshot_HateBERT_HateXPlain_cm.png"/>
                          <pic:cNvPicPr/>
                        </pic:nvPicPr>
                        <pic:blipFill>
                          <a:blip r:embed="rId10"/>
                          <a:stretch>
                            <a:fillRect/>
                          </a:stretch>
                        </pic:blipFill>
                        <pic:spPr>
                          <a:xfrm>
                            <a:off x="0" y="0"/>
                            <a:ext cx="2560320" cy="2133600"/>
                          </a:xfrm>
                          <a:prstGeom prst="rect"/>
                        </pic:spPr>
                      </pic:pic>
                    </a:graphicData>
                  </a:graphic>
                </wp:inline>
              </w:drawing>
            </w:r>
          </w:p>
        </w:tc>
      </w:tr>
      <w:tr>
        <w:tc>
          <w:tcPr>
            <w:tcW w:type="dxa" w:w="4421"/>
            <w:tcBorders>
              <w:top w:val="none"/>
              <w:left w:val="none"/>
              <w:bottom w:val="none"/>
              <w:right w:val="none"/>
              <w:insideH w:val="none"/>
              <w:insideV w:val="none"/>
            </w:tcBorders>
          </w:tcPr>
          <w:p>
            <w:pPr>
              <w:jc w:val="center"/>
            </w:pPr>
            <w:r>
              <w:rPr>
                <w:rFonts w:ascii="Times New Roman" w:hAnsi="Times New Roman"/>
                <w:b w:val="0"/>
                <w:i/>
                <w:color w:val="606060"/>
                <w:sz w:val="18"/>
              </w:rPr>
              <w:t>Figure 1a. BERT-base-uncased</w:t>
            </w:r>
          </w:p>
        </w:tc>
        <w:tc>
          <w:tcPr>
            <w:tcW w:type="dxa" w:w="4421"/>
            <w:tcBorders>
              <w:top w:val="none"/>
              <w:left w:val="none"/>
              <w:bottom w:val="none"/>
              <w:right w:val="none"/>
              <w:insideH w:val="none"/>
              <w:insideV w:val="none"/>
            </w:tcBorders>
          </w:tcPr>
          <w:p>
            <w:pPr>
              <w:jc w:val="center"/>
            </w:pPr>
            <w:r>
              <w:rPr>
                <w:rFonts w:ascii="Times New Roman" w:hAnsi="Times New Roman"/>
                <w:b w:val="0"/>
                <w:i/>
                <w:color w:val="606060"/>
                <w:sz w:val="18"/>
              </w:rPr>
              <w:t>Figure 1b. HateBERT</w:t>
            </w:r>
          </w:p>
        </w:tc>
      </w:tr>
    </w:tbl>
    <w:tbl>
      <w:tblPr>
        <w:tblW w:type="auto" w:w="0"/>
        <w:jc w:val="center"/>
        <w:tblLook w:firstColumn="1" w:firstRow="1" w:lastColumn="0" w:lastRow="0" w:noHBand="0" w:noVBand="1" w:val="04A0"/>
      </w:tblPr>
      <w:tblGrid>
        <w:gridCol w:w="4421"/>
        <w:gridCol w:w="4421"/>
      </w:tblGrid>
      <w:tr>
        <w:tc>
          <w:tcPr>
            <w:tcW w:type="dxa" w:w="4421"/>
            <w:tcBorders>
              <w:top w:val="none"/>
              <w:left w:val="none"/>
              <w:bottom w:val="none"/>
              <w:right w:val="none"/>
              <w:insideH w:val="none"/>
              <w:insideV w:val="none"/>
            </w:tcBorders>
          </w:tcPr>
          <w:p>
            <w:pPr>
              <w:jc w:val="center"/>
            </w:pPr>
            <w:r>
              <w:drawing>
                <wp:inline xmlns:a="http://schemas.openxmlformats.org/drawingml/2006/main" xmlns:pic="http://schemas.openxmlformats.org/drawingml/2006/picture">
                  <wp:extent cx="2560320" cy="2133600"/>
                  <wp:docPr id="3" name="Picture 3"/>
                  <wp:cNvGraphicFramePr>
                    <a:graphicFrameLocks noChangeAspect="1"/>
                  </wp:cNvGraphicFramePr>
                  <a:graphic>
                    <a:graphicData uri="http://schemas.openxmlformats.org/drawingml/2006/picture">
                      <pic:pic>
                        <pic:nvPicPr>
                          <pic:cNvPr id="0" name="zeroshot_Twitter-RoBERTa-base-hate_HateXPlain_cm.png"/>
                          <pic:cNvPicPr/>
                        </pic:nvPicPr>
                        <pic:blipFill>
                          <a:blip r:embed="rId11"/>
                          <a:stretch>
                            <a:fillRect/>
                          </a:stretch>
                        </pic:blipFill>
                        <pic:spPr>
                          <a:xfrm>
                            <a:off x="0" y="0"/>
                            <a:ext cx="2560320" cy="2133600"/>
                          </a:xfrm>
                          <a:prstGeom prst="rect"/>
                        </pic:spPr>
                      </pic:pic>
                    </a:graphicData>
                  </a:graphic>
                </wp:inline>
              </w:drawing>
            </w:r>
          </w:p>
        </w:tc>
        <w:tc>
          <w:tcPr>
            <w:tcW w:type="dxa" w:w="4421"/>
            <w:tcBorders>
              <w:top w:val="none"/>
              <w:left w:val="none"/>
              <w:bottom w:val="none"/>
              <w:right w:val="none"/>
              <w:insideH w:val="none"/>
              <w:insideV w:val="none"/>
            </w:tcBorders>
          </w:tcPr>
          <w:p>
            <w:pPr>
              <w:jc w:val="center"/>
            </w:pPr>
            <w:r>
              <w:drawing>
                <wp:inline xmlns:a="http://schemas.openxmlformats.org/drawingml/2006/main" xmlns:pic="http://schemas.openxmlformats.org/drawingml/2006/picture">
                  <wp:extent cx="2560320" cy="2133600"/>
                  <wp:docPr id="4" name="Picture 4"/>
                  <wp:cNvGraphicFramePr>
                    <a:graphicFrameLocks noChangeAspect="1"/>
                  </wp:cNvGraphicFramePr>
                  <a:graphic>
                    <a:graphicData uri="http://schemas.openxmlformats.org/drawingml/2006/picture">
                      <pic:pic>
                        <pic:nvPicPr>
                          <pic:cNvPr id="0" name="zeroshot_BERTweet_HateXPlain_cm.png"/>
                          <pic:cNvPicPr/>
                        </pic:nvPicPr>
                        <pic:blipFill>
                          <a:blip r:embed="rId12"/>
                          <a:stretch>
                            <a:fillRect/>
                          </a:stretch>
                        </pic:blipFill>
                        <pic:spPr>
                          <a:xfrm>
                            <a:off x="0" y="0"/>
                            <a:ext cx="2560320" cy="2133600"/>
                          </a:xfrm>
                          <a:prstGeom prst="rect"/>
                        </pic:spPr>
                      </pic:pic>
                    </a:graphicData>
                  </a:graphic>
                </wp:inline>
              </w:drawing>
            </w:r>
          </w:p>
        </w:tc>
      </w:tr>
      <w:tr>
        <w:tc>
          <w:tcPr>
            <w:tcW w:type="dxa" w:w="4421"/>
            <w:tcBorders>
              <w:top w:val="none"/>
              <w:left w:val="none"/>
              <w:bottom w:val="none"/>
              <w:right w:val="none"/>
              <w:insideH w:val="none"/>
              <w:insideV w:val="none"/>
            </w:tcBorders>
          </w:tcPr>
          <w:p>
            <w:pPr>
              <w:jc w:val="center"/>
            </w:pPr>
            <w:r>
              <w:rPr>
                <w:rFonts w:ascii="Times New Roman" w:hAnsi="Times New Roman"/>
                <w:b w:val="0"/>
                <w:i/>
                <w:color w:val="606060"/>
                <w:sz w:val="18"/>
              </w:rPr>
              <w:t>Figure 1c. Twitter-RoBERTa-base-hate</w:t>
            </w:r>
          </w:p>
        </w:tc>
        <w:tc>
          <w:tcPr>
            <w:tcW w:type="dxa" w:w="4421"/>
            <w:tcBorders>
              <w:top w:val="none"/>
              <w:left w:val="none"/>
              <w:bottom w:val="none"/>
              <w:right w:val="none"/>
              <w:insideH w:val="none"/>
              <w:insideV w:val="none"/>
            </w:tcBorders>
          </w:tcPr>
          <w:p>
            <w:pPr>
              <w:jc w:val="center"/>
            </w:pPr>
            <w:r>
              <w:rPr>
                <w:rFonts w:ascii="Times New Roman" w:hAnsi="Times New Roman"/>
                <w:b w:val="0"/>
                <w:i/>
                <w:color w:val="606060"/>
                <w:sz w:val="18"/>
              </w:rPr>
              <w:t>Figure 1d. BERTweet</w:t>
            </w:r>
          </w:p>
        </w:tc>
      </w:tr>
    </w:tbl>
    <w:p>
      <w:pPr>
        <w:spacing w:after="160"/>
        <w:jc w:val="center"/>
      </w:pPr>
      <w:r>
        <w:rPr>
          <w:rFonts w:ascii="Times New Roman" w:hAnsi="Times New Roman"/>
          <w:b w:val="0"/>
          <w:i/>
          <w:color w:val="606060"/>
          <w:sz w:val="18"/>
        </w:rPr>
        <w:t>Figure 1. Zero-shot confusion matrices on HateXPlain test set</w:t>
      </w:r>
    </w:p>
    <w:p/>
    <w:p>
      <w:pPr>
        <w:spacing w:before="160" w:after="80"/>
      </w:pPr>
      <w:r>
        <w:rPr>
          <w:rFonts w:ascii="Times New Roman" w:hAnsi="Times New Roman"/>
          <w:b/>
          <w:i w:val="0"/>
          <w:sz w:val="22"/>
        </w:rPr>
        <w:t>1.3  Results — TweetEval Test Set</w:t>
      </w:r>
    </w:p>
    <w:p>
      <w:pPr>
        <w:spacing w:before="80" w:after="40"/>
        <w:jc w:val="center"/>
      </w:pPr>
      <w:r>
        <w:rPr>
          <w:rFonts w:ascii="Times New Roman" w:hAnsi="Times New Roman"/>
          <w:b w:val="0"/>
          <w:i/>
          <w:sz w:val="20"/>
        </w:rPr>
        <w:t>Table 2.  Zero-Shot Performance on TweetEval Test Set (n = 3,830)</w:t>
      </w:r>
    </w:p>
    <w:tbl>
      <w:tblPr>
        <w:tblStyle w:val="TableGrid"/>
        <w:tblW w:type="auto" w:w="0"/>
        <w:jc w:val="center"/>
        <w:tblLook w:firstColumn="1" w:firstRow="1" w:lastColumn="0" w:lastRow="0" w:noHBand="0" w:noVBand="1" w:val="04A0"/>
      </w:tblPr>
      <w:tblGrid>
        <w:gridCol w:w="1474"/>
        <w:gridCol w:w="1474"/>
        <w:gridCol w:w="1474"/>
        <w:gridCol w:w="1474"/>
        <w:gridCol w:w="1474"/>
        <w:gridCol w:w="1474"/>
      </w:tblGrid>
      <w:tr>
        <w:tc>
          <w:tcPr>
            <w:tcW w:type="dxa" w:w="2835"/>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Model</w:t>
            </w:r>
          </w:p>
        </w:tc>
        <w:tc>
          <w:tcPr>
            <w:tcW w:type="dxa" w:w="1134"/>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Accuracy</w:t>
            </w:r>
          </w:p>
        </w:tc>
        <w:tc>
          <w:tcPr>
            <w:tcW w:type="dxa" w:w="1134"/>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Macro F1</w:t>
            </w:r>
          </w:p>
        </w:tc>
        <w:tc>
          <w:tcPr>
            <w:tcW w:type="dxa" w:w="1247"/>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F1 Normal</w:t>
            </w:r>
          </w:p>
        </w:tc>
        <w:tc>
          <w:tcPr>
            <w:tcW w:type="dxa" w:w="1587"/>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F1 Offensive</w:t>
            </w:r>
          </w:p>
        </w:tc>
        <w:tc>
          <w:tcPr>
            <w:tcW w:type="dxa" w:w="1134"/>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F1 Hate</w:t>
            </w:r>
          </w:p>
        </w:tc>
      </w:tr>
      <w:tr>
        <w:tc>
          <w:tcPr>
            <w:tcW w:type="dxa" w:w="2835"/>
            <w:shd w:val="clear" w:color="auto" w:fill="DCE6F1"/>
            <w:tcBorders>
              <w:top w:val="single" w:sz="4" w:space="0" w:color="BFBFBF"/>
              <w:left w:val="single" w:sz="4" w:space="0" w:color="BFBFBF"/>
              <w:bottom w:val="single" w:sz="4" w:space="0" w:color="BFBFBF"/>
              <w:right w:val="single" w:sz="4" w:space="0" w:color="BFBFBF"/>
            </w:tcBorders>
            <w:vAlign w:val="center"/>
          </w:tcPr>
          <w:p>
            <w:pPr>
              <w:jc w:val="left"/>
            </w:pPr>
            <w:r>
              <w:rPr>
                <w:rFonts w:ascii="Times New Roman" w:hAnsi="Times New Roman"/>
                <w:b w:val="0"/>
                <w:i w:val="0"/>
                <w:sz w:val="20"/>
              </w:rPr>
              <w:t>BERT-base-uncased</w:t>
            </w:r>
          </w:p>
        </w:tc>
        <w:tc>
          <w:tcPr>
            <w:tcW w:type="dxa" w:w="1134"/>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0.5843</w:t>
            </w:r>
          </w:p>
        </w:tc>
        <w:tc>
          <w:tcPr>
            <w:tcW w:type="dxa" w:w="1134"/>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0.2842</w:t>
            </w:r>
          </w:p>
        </w:tc>
        <w:tc>
          <w:tcPr>
            <w:tcW w:type="dxa" w:w="1247"/>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0.7482</w:t>
            </w:r>
          </w:p>
        </w:tc>
        <w:tc>
          <w:tcPr>
            <w:tcW w:type="dxa" w:w="1587"/>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0.0269</w:t>
            </w:r>
          </w:p>
        </w:tc>
        <w:tc>
          <w:tcPr>
            <w:tcW w:type="dxa" w:w="1134"/>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0.0776</w:t>
            </w:r>
          </w:p>
        </w:tc>
      </w:tr>
      <w:tr>
        <w:tc>
          <w:tcPr>
            <w:tcW w:type="dxa" w:w="2835"/>
            <w:shd w:val="clear" w:color="auto" w:fill="FFFFFF"/>
            <w:tcBorders>
              <w:top w:val="single" w:sz="4" w:space="0" w:color="BFBFBF"/>
              <w:left w:val="single" w:sz="4" w:space="0" w:color="BFBFBF"/>
              <w:bottom w:val="single" w:sz="4" w:space="0" w:color="BFBFBF"/>
              <w:right w:val="single" w:sz="4" w:space="0" w:color="BFBFBF"/>
            </w:tcBorders>
            <w:vAlign w:val="center"/>
          </w:tcPr>
          <w:p>
            <w:pPr>
              <w:jc w:val="left"/>
            </w:pPr>
            <w:r>
              <w:rPr>
                <w:rFonts w:ascii="Times New Roman" w:hAnsi="Times New Roman"/>
                <w:b w:val="0"/>
                <w:i w:val="0"/>
                <w:sz w:val="20"/>
              </w:rPr>
              <w:t>HateBERT</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0.4778</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0.3421</w:t>
            </w:r>
          </w:p>
        </w:tc>
        <w:tc>
          <w:tcPr>
            <w:tcW w:type="dxa" w:w="1247"/>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0.6816</w:t>
            </w:r>
          </w:p>
        </w:tc>
        <w:tc>
          <w:tcPr>
            <w:tcW w:type="dxa" w:w="1587"/>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0.0836</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0.2612</w:t>
            </w:r>
          </w:p>
        </w:tc>
      </w:tr>
      <w:tr>
        <w:tc>
          <w:tcPr>
            <w:tcW w:type="dxa" w:w="2835"/>
            <w:shd w:val="clear" w:color="auto" w:fill="DCE6F1"/>
            <w:tcBorders>
              <w:top w:val="single" w:sz="4" w:space="0" w:color="BFBFBF"/>
              <w:left w:val="single" w:sz="4" w:space="0" w:color="BFBFBF"/>
              <w:bottom w:val="single" w:sz="4" w:space="0" w:color="BFBFBF"/>
              <w:right w:val="single" w:sz="4" w:space="0" w:color="BFBFBF"/>
            </w:tcBorders>
            <w:vAlign w:val="center"/>
          </w:tcPr>
          <w:p>
            <w:pPr>
              <w:jc w:val="left"/>
            </w:pPr>
            <w:r>
              <w:rPr>
                <w:rFonts w:ascii="Times New Roman" w:hAnsi="Times New Roman"/>
                <w:b w:val="0"/>
                <w:i w:val="0"/>
                <w:sz w:val="20"/>
              </w:rPr>
              <w:t>Twitter-RoBERTa-base-hate</w:t>
            </w:r>
          </w:p>
        </w:tc>
        <w:tc>
          <w:tcPr>
            <w:tcW w:type="dxa" w:w="1134"/>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0.1922</w:t>
            </w:r>
          </w:p>
        </w:tc>
        <w:tc>
          <w:tcPr>
            <w:tcW w:type="dxa" w:w="1134"/>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0.1983</w:t>
            </w:r>
          </w:p>
        </w:tc>
        <w:tc>
          <w:tcPr>
            <w:tcW w:type="dxa" w:w="1247"/>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0.2590</w:t>
            </w:r>
          </w:p>
        </w:tc>
        <w:tc>
          <w:tcPr>
            <w:tcW w:type="dxa" w:w="1587"/>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0.0894</w:t>
            </w:r>
          </w:p>
        </w:tc>
        <w:tc>
          <w:tcPr>
            <w:tcW w:type="dxa" w:w="1134"/>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0.2465</w:t>
            </w:r>
          </w:p>
        </w:tc>
      </w:tr>
      <w:tr>
        <w:tc>
          <w:tcPr>
            <w:tcW w:type="dxa" w:w="2835"/>
            <w:shd w:val="clear" w:color="auto" w:fill="FFFFFF"/>
            <w:tcBorders>
              <w:top w:val="single" w:sz="4" w:space="0" w:color="BFBFBF"/>
              <w:left w:val="single" w:sz="4" w:space="0" w:color="BFBFBF"/>
              <w:bottom w:val="single" w:sz="4" w:space="0" w:color="BFBFBF"/>
              <w:right w:val="single" w:sz="4" w:space="0" w:color="BFBFBF"/>
            </w:tcBorders>
            <w:vAlign w:val="center"/>
          </w:tcPr>
          <w:p>
            <w:pPr>
              <w:jc w:val="left"/>
            </w:pPr>
            <w:r>
              <w:rPr>
                <w:rFonts w:ascii="Times New Roman" w:hAnsi="Times New Roman"/>
                <w:b w:val="0"/>
                <w:i w:val="0"/>
                <w:sz w:val="20"/>
              </w:rPr>
              <w:t>BERTweet</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0.3251</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0.2477</w:t>
            </w:r>
          </w:p>
        </w:tc>
        <w:tc>
          <w:tcPr>
            <w:tcW w:type="dxa" w:w="1247"/>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0.5106</w:t>
            </w:r>
          </w:p>
        </w:tc>
        <w:tc>
          <w:tcPr>
            <w:tcW w:type="dxa" w:w="1587"/>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0.1117</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0.1207</w:t>
            </w:r>
          </w:p>
        </w:tc>
      </w:tr>
    </w:tbl>
    <w:tbl>
      <w:tblPr>
        <w:tblW w:type="auto" w:w="0"/>
        <w:jc w:val="center"/>
        <w:tblLook w:firstColumn="1" w:firstRow="1" w:lastColumn="0" w:lastRow="0" w:noHBand="0" w:noVBand="1" w:val="04A0"/>
      </w:tblPr>
      <w:tblGrid>
        <w:gridCol w:w="4421"/>
        <w:gridCol w:w="4421"/>
      </w:tblGrid>
      <w:tr>
        <w:tc>
          <w:tcPr>
            <w:tcW w:type="dxa" w:w="4421"/>
            <w:tcBorders>
              <w:top w:val="none"/>
              <w:left w:val="none"/>
              <w:bottom w:val="none"/>
              <w:right w:val="none"/>
              <w:insideH w:val="none"/>
              <w:insideV w:val="none"/>
            </w:tcBorders>
          </w:tcPr>
          <w:p>
            <w:pPr>
              <w:jc w:val="center"/>
            </w:pPr>
            <w:r>
              <w:drawing>
                <wp:inline xmlns:a="http://schemas.openxmlformats.org/drawingml/2006/main" xmlns:pic="http://schemas.openxmlformats.org/drawingml/2006/picture">
                  <wp:extent cx="2560320" cy="2133600"/>
                  <wp:docPr id="5" name="Picture 5"/>
                  <wp:cNvGraphicFramePr>
                    <a:graphicFrameLocks noChangeAspect="1"/>
                  </wp:cNvGraphicFramePr>
                  <a:graphic>
                    <a:graphicData uri="http://schemas.openxmlformats.org/drawingml/2006/picture">
                      <pic:pic>
                        <pic:nvPicPr>
                          <pic:cNvPr id="0" name="zeroshot_BERT-base-uncased_TweetEval_cm.png"/>
                          <pic:cNvPicPr/>
                        </pic:nvPicPr>
                        <pic:blipFill>
                          <a:blip r:embed="rId13"/>
                          <a:stretch>
                            <a:fillRect/>
                          </a:stretch>
                        </pic:blipFill>
                        <pic:spPr>
                          <a:xfrm>
                            <a:off x="0" y="0"/>
                            <a:ext cx="2560320" cy="2133600"/>
                          </a:xfrm>
                          <a:prstGeom prst="rect"/>
                        </pic:spPr>
                      </pic:pic>
                    </a:graphicData>
                  </a:graphic>
                </wp:inline>
              </w:drawing>
            </w:r>
          </w:p>
        </w:tc>
        <w:tc>
          <w:tcPr>
            <w:tcW w:type="dxa" w:w="4421"/>
            <w:tcBorders>
              <w:top w:val="none"/>
              <w:left w:val="none"/>
              <w:bottom w:val="none"/>
              <w:right w:val="none"/>
              <w:insideH w:val="none"/>
              <w:insideV w:val="none"/>
            </w:tcBorders>
          </w:tcPr>
          <w:p>
            <w:pPr>
              <w:jc w:val="center"/>
            </w:pPr>
            <w:r>
              <w:drawing>
                <wp:inline xmlns:a="http://schemas.openxmlformats.org/drawingml/2006/main" xmlns:pic="http://schemas.openxmlformats.org/drawingml/2006/picture">
                  <wp:extent cx="2560320" cy="2133600"/>
                  <wp:docPr id="6" name="Picture 6"/>
                  <wp:cNvGraphicFramePr>
                    <a:graphicFrameLocks noChangeAspect="1"/>
                  </wp:cNvGraphicFramePr>
                  <a:graphic>
                    <a:graphicData uri="http://schemas.openxmlformats.org/drawingml/2006/picture">
                      <pic:pic>
                        <pic:nvPicPr>
                          <pic:cNvPr id="0" name="zeroshot_HateBERT_TweetEval_cm.png"/>
                          <pic:cNvPicPr/>
                        </pic:nvPicPr>
                        <pic:blipFill>
                          <a:blip r:embed="rId14"/>
                          <a:stretch>
                            <a:fillRect/>
                          </a:stretch>
                        </pic:blipFill>
                        <pic:spPr>
                          <a:xfrm>
                            <a:off x="0" y="0"/>
                            <a:ext cx="2560320" cy="2133600"/>
                          </a:xfrm>
                          <a:prstGeom prst="rect"/>
                        </pic:spPr>
                      </pic:pic>
                    </a:graphicData>
                  </a:graphic>
                </wp:inline>
              </w:drawing>
            </w:r>
          </w:p>
        </w:tc>
      </w:tr>
      <w:tr>
        <w:tc>
          <w:tcPr>
            <w:tcW w:type="dxa" w:w="4421"/>
            <w:tcBorders>
              <w:top w:val="none"/>
              <w:left w:val="none"/>
              <w:bottom w:val="none"/>
              <w:right w:val="none"/>
              <w:insideH w:val="none"/>
              <w:insideV w:val="none"/>
            </w:tcBorders>
          </w:tcPr>
          <w:p>
            <w:pPr>
              <w:jc w:val="center"/>
            </w:pPr>
            <w:r>
              <w:rPr>
                <w:rFonts w:ascii="Times New Roman" w:hAnsi="Times New Roman"/>
                <w:b w:val="0"/>
                <w:i/>
                <w:color w:val="606060"/>
                <w:sz w:val="18"/>
              </w:rPr>
              <w:t>Figure 2a. BERT-base-uncased</w:t>
            </w:r>
          </w:p>
        </w:tc>
        <w:tc>
          <w:tcPr>
            <w:tcW w:type="dxa" w:w="4421"/>
            <w:tcBorders>
              <w:top w:val="none"/>
              <w:left w:val="none"/>
              <w:bottom w:val="none"/>
              <w:right w:val="none"/>
              <w:insideH w:val="none"/>
              <w:insideV w:val="none"/>
            </w:tcBorders>
          </w:tcPr>
          <w:p>
            <w:pPr>
              <w:jc w:val="center"/>
            </w:pPr>
            <w:r>
              <w:rPr>
                <w:rFonts w:ascii="Times New Roman" w:hAnsi="Times New Roman"/>
                <w:b w:val="0"/>
                <w:i/>
                <w:color w:val="606060"/>
                <w:sz w:val="18"/>
              </w:rPr>
              <w:t>Figure 2b. HateBERT</w:t>
            </w:r>
          </w:p>
        </w:tc>
      </w:tr>
    </w:tbl>
    <w:tbl>
      <w:tblPr>
        <w:tblW w:type="auto" w:w="0"/>
        <w:jc w:val="center"/>
        <w:tblLook w:firstColumn="1" w:firstRow="1" w:lastColumn="0" w:lastRow="0" w:noHBand="0" w:noVBand="1" w:val="04A0"/>
      </w:tblPr>
      <w:tblGrid>
        <w:gridCol w:w="4421"/>
        <w:gridCol w:w="4421"/>
      </w:tblGrid>
      <w:tr>
        <w:tc>
          <w:tcPr>
            <w:tcW w:type="dxa" w:w="4421"/>
            <w:tcBorders>
              <w:top w:val="none"/>
              <w:left w:val="none"/>
              <w:bottom w:val="none"/>
              <w:right w:val="none"/>
              <w:insideH w:val="none"/>
              <w:insideV w:val="none"/>
            </w:tcBorders>
          </w:tcPr>
          <w:p>
            <w:pPr>
              <w:jc w:val="center"/>
            </w:pPr>
            <w:r>
              <w:drawing>
                <wp:inline xmlns:a="http://schemas.openxmlformats.org/drawingml/2006/main" xmlns:pic="http://schemas.openxmlformats.org/drawingml/2006/picture">
                  <wp:extent cx="2560320" cy="2133600"/>
                  <wp:docPr id="7" name="Picture 7"/>
                  <wp:cNvGraphicFramePr>
                    <a:graphicFrameLocks noChangeAspect="1"/>
                  </wp:cNvGraphicFramePr>
                  <a:graphic>
                    <a:graphicData uri="http://schemas.openxmlformats.org/drawingml/2006/picture">
                      <pic:pic>
                        <pic:nvPicPr>
                          <pic:cNvPr id="0" name="zeroshot_Twitter-RoBERTa-base-hate_TweetEval_cm.png"/>
                          <pic:cNvPicPr/>
                        </pic:nvPicPr>
                        <pic:blipFill>
                          <a:blip r:embed="rId15"/>
                          <a:stretch>
                            <a:fillRect/>
                          </a:stretch>
                        </pic:blipFill>
                        <pic:spPr>
                          <a:xfrm>
                            <a:off x="0" y="0"/>
                            <a:ext cx="2560320" cy="2133600"/>
                          </a:xfrm>
                          <a:prstGeom prst="rect"/>
                        </pic:spPr>
                      </pic:pic>
                    </a:graphicData>
                  </a:graphic>
                </wp:inline>
              </w:drawing>
            </w:r>
          </w:p>
        </w:tc>
        <w:tc>
          <w:tcPr>
            <w:tcW w:type="dxa" w:w="4421"/>
            <w:tcBorders>
              <w:top w:val="none"/>
              <w:left w:val="none"/>
              <w:bottom w:val="none"/>
              <w:right w:val="none"/>
              <w:insideH w:val="none"/>
              <w:insideV w:val="none"/>
            </w:tcBorders>
          </w:tcPr>
          <w:p>
            <w:pPr>
              <w:jc w:val="center"/>
            </w:pPr>
            <w:r>
              <w:drawing>
                <wp:inline xmlns:a="http://schemas.openxmlformats.org/drawingml/2006/main" xmlns:pic="http://schemas.openxmlformats.org/drawingml/2006/picture">
                  <wp:extent cx="2560320" cy="2133600"/>
                  <wp:docPr id="8" name="Picture 8"/>
                  <wp:cNvGraphicFramePr>
                    <a:graphicFrameLocks noChangeAspect="1"/>
                  </wp:cNvGraphicFramePr>
                  <a:graphic>
                    <a:graphicData uri="http://schemas.openxmlformats.org/drawingml/2006/picture">
                      <pic:pic>
                        <pic:nvPicPr>
                          <pic:cNvPr id="0" name="zeroshot_BERTweet_TweetEval_cm.png"/>
                          <pic:cNvPicPr/>
                        </pic:nvPicPr>
                        <pic:blipFill>
                          <a:blip r:embed="rId16"/>
                          <a:stretch>
                            <a:fillRect/>
                          </a:stretch>
                        </pic:blipFill>
                        <pic:spPr>
                          <a:xfrm>
                            <a:off x="0" y="0"/>
                            <a:ext cx="2560320" cy="2133600"/>
                          </a:xfrm>
                          <a:prstGeom prst="rect"/>
                        </pic:spPr>
                      </pic:pic>
                    </a:graphicData>
                  </a:graphic>
                </wp:inline>
              </w:drawing>
            </w:r>
          </w:p>
        </w:tc>
      </w:tr>
      <w:tr>
        <w:tc>
          <w:tcPr>
            <w:tcW w:type="dxa" w:w="4421"/>
            <w:tcBorders>
              <w:top w:val="none"/>
              <w:left w:val="none"/>
              <w:bottom w:val="none"/>
              <w:right w:val="none"/>
              <w:insideH w:val="none"/>
              <w:insideV w:val="none"/>
            </w:tcBorders>
          </w:tcPr>
          <w:p>
            <w:pPr>
              <w:jc w:val="center"/>
            </w:pPr>
            <w:r>
              <w:rPr>
                <w:rFonts w:ascii="Times New Roman" w:hAnsi="Times New Roman"/>
                <w:b w:val="0"/>
                <w:i/>
                <w:color w:val="606060"/>
                <w:sz w:val="18"/>
              </w:rPr>
              <w:t>Figure 2c. Twitter-RoBERTa-base-hate</w:t>
            </w:r>
          </w:p>
        </w:tc>
        <w:tc>
          <w:tcPr>
            <w:tcW w:type="dxa" w:w="4421"/>
            <w:tcBorders>
              <w:top w:val="none"/>
              <w:left w:val="none"/>
              <w:bottom w:val="none"/>
              <w:right w:val="none"/>
              <w:insideH w:val="none"/>
              <w:insideV w:val="none"/>
            </w:tcBorders>
          </w:tcPr>
          <w:p>
            <w:pPr>
              <w:jc w:val="center"/>
            </w:pPr>
            <w:r>
              <w:rPr>
                <w:rFonts w:ascii="Times New Roman" w:hAnsi="Times New Roman"/>
                <w:b w:val="0"/>
                <w:i/>
                <w:color w:val="606060"/>
                <w:sz w:val="18"/>
              </w:rPr>
              <w:t>Figure 2d. BERTweet</w:t>
            </w:r>
          </w:p>
        </w:tc>
      </w:tr>
    </w:tbl>
    <w:p>
      <w:pPr>
        <w:spacing w:after="160"/>
        <w:jc w:val="center"/>
      </w:pPr>
      <w:r>
        <w:rPr>
          <w:rFonts w:ascii="Times New Roman" w:hAnsi="Times New Roman"/>
          <w:b w:val="0"/>
          <w:i/>
          <w:color w:val="606060"/>
          <w:sz w:val="18"/>
        </w:rPr>
        <w:t>Figure 2. Zero-shot confusion matrices on TweetEval test set</w:t>
      </w:r>
    </w:p>
    <w:p/>
    <w:p>
      <w:pPr>
        <w:spacing w:before="160" w:after="80"/>
      </w:pPr>
      <w:r>
        <w:rPr>
          <w:rFonts w:ascii="Times New Roman" w:hAnsi="Times New Roman"/>
          <w:b/>
          <w:i w:val="0"/>
          <w:sz w:val="22"/>
        </w:rPr>
        <w:t>1.4  Analysis</w:t>
      </w:r>
    </w:p>
    <w:p>
      <w:pPr>
        <w:spacing w:before="0" w:after="120" w:line="260" w:lineRule="exact"/>
      </w:pPr>
      <w:r>
        <w:rPr>
          <w:rFonts w:ascii="Times New Roman" w:hAnsi="Times New Roman"/>
          <w:b w:val="0"/>
          <w:i w:val="0"/>
          <w:sz w:val="22"/>
        </w:rPr>
        <w:t>All four models achieve modest Macro F1 scores (0.20–0.34) without fine-tuning, confirming that zero-shot CLS cosine similarity is insufficient for reliable 3-class hate speech detection. Nevertheless, the results reveal meaningful differences across model types:</w:t>
      </w:r>
    </w:p>
    <w:p>
      <w:pPr>
        <w:spacing w:before="0" w:after="120" w:line="260" w:lineRule="exact"/>
      </w:pPr>
      <w:r>
        <w:rPr>
          <w:rFonts w:ascii="Times New Roman" w:hAnsi="Times New Roman"/>
          <w:b/>
          <w:i w:val="0"/>
          <w:sz w:val="22"/>
        </w:rPr>
        <w:t xml:space="preserve">HateBERT achieves the best overall balance. </w:t>
      </w:r>
      <w:r>
        <w:rPr>
          <w:rFonts w:ascii="Times New Roman" w:hAnsi="Times New Roman"/>
          <w:b w:val="0"/>
          <w:i w:val="0"/>
          <w:sz w:val="22"/>
        </w:rPr>
        <w:t>Macro F1 = 0.337 on HateXPlain and 0.342 on TweetEval — the highest across both datasets. Pre-training on Reddit abusive content gives it broader coverage of offensive language patterns, producing more balanced F1 scores across all three classes compared to the other models.</w:t>
      </w:r>
    </w:p>
    <w:p>
      <w:pPr>
        <w:spacing w:before="0" w:after="120" w:line="260" w:lineRule="exact"/>
      </w:pPr>
      <w:r>
        <w:rPr>
          <w:rFonts w:ascii="Times New Roman" w:hAnsi="Times New Roman"/>
          <w:b/>
          <w:i w:val="0"/>
          <w:sz w:val="22"/>
        </w:rPr>
        <w:t xml:space="preserve">Twitter-RoBERTa shows class-level specialisation. </w:t>
      </w:r>
      <w:r>
        <w:rPr>
          <w:rFonts w:ascii="Times New Roman" w:hAnsi="Times New Roman"/>
          <w:b w:val="0"/>
          <w:i w:val="0"/>
          <w:sz w:val="22"/>
        </w:rPr>
        <w:t>It achieves the highest F1 Offensive on HateXPlain (0.427) and the highest F1 Hate on TweetEval (0.247), consistent with its pre-training on hate-labelled tweet data. However, it dramatically over-predicts Offensive on TweetEval (Accuracy = 0.192), collapsing the Normal class F1 to 0.259.</w:t>
      </w:r>
    </w:p>
    <w:p>
      <w:pPr>
        <w:spacing w:before="0" w:after="120" w:line="260" w:lineRule="exact"/>
      </w:pPr>
      <w:r>
        <w:rPr>
          <w:rFonts w:ascii="Times New Roman" w:hAnsi="Times New Roman"/>
          <w:b/>
          <w:i w:val="0"/>
          <w:sz w:val="22"/>
        </w:rPr>
        <w:t xml:space="preserve">BERT-base-uncased defaults to predicting Normal. </w:t>
      </w:r>
      <w:r>
        <w:rPr>
          <w:rFonts w:ascii="Times New Roman" w:hAnsi="Times New Roman"/>
          <w:b w:val="0"/>
          <w:i w:val="0"/>
          <w:sz w:val="22"/>
        </w:rPr>
        <w:t>It achieves the highest F1 Normal on both datasets (0.545 / 0.748) but near-zero F1 for Offensive and Hate, indicating a strong majority-class bias in the absence of task-specific training.</w:t>
      </w:r>
    </w:p>
    <w:p>
      <w:pPr>
        <w:spacing w:before="0" w:after="120" w:line="260" w:lineRule="exact"/>
      </w:pPr>
      <w:r>
        <w:rPr>
          <w:rFonts w:ascii="Times New Roman" w:hAnsi="Times New Roman"/>
          <w:b/>
          <w:i w:val="0"/>
          <w:sz w:val="22"/>
        </w:rPr>
        <w:t xml:space="preserve">BERTweet performs weakest overall. </w:t>
      </w:r>
      <w:r>
        <w:rPr>
          <w:rFonts w:ascii="Times New Roman" w:hAnsi="Times New Roman"/>
          <w:b w:val="0"/>
          <w:i w:val="0"/>
          <w:sz w:val="22"/>
        </w:rPr>
        <w:t>Despite being pre-trained on 850M tweets, tweet-specific language understanding does not directly transfer to hate speech classification without fine-tuning. F1 Hate is near zero on HateXPlain (0.027), suggesting the model embeds hate speech in a space close to Normal content.</w:t>
      </w:r>
    </w:p>
    <w:p>
      <w:pPr>
        <w:spacing w:before="0" w:after="120" w:line="260" w:lineRule="exact"/>
      </w:pPr>
      <w:r>
        <w:rPr>
          <w:rFonts w:ascii="Times New Roman" w:hAnsi="Times New Roman"/>
          <w:b w:val="0"/>
          <w:i w:val="0"/>
          <w:sz w:val="22"/>
        </w:rPr>
        <w:t>These results establish a meaningful zero-shot baseline and demonstrate that domain-relevant pre-training (HateBERT, Twitter-RoBERTa) provides modest but measurable advantages over general-purpose encoders. Fine-tuning on labelled data is required for robust classification performance.</w:t>
      </w:r>
    </w:p>
    <w:p>
      <w:pPr>
        <w:spacing w:before="280" w:after="80"/>
      </w:pPr>
      <w:r>
        <w:rPr>
          <w:rFonts w:ascii="Times New Roman" w:hAnsi="Times New Roman"/>
          <w:b/>
          <w:i w:val="0"/>
          <w:color w:val="1F497D"/>
          <w:sz w:val="26"/>
        </w:rPr>
        <w:t>2.  Fine-Tuning BERT on Hate Speech Datasets  (20 Credits)</w:t>
      </w:r>
    </w:p>
    <w:p>
      <w:pPr>
        <w:spacing w:before="160" w:after="80"/>
      </w:pPr>
      <w:r>
        <w:rPr>
          <w:rFonts w:ascii="Times New Roman" w:hAnsi="Times New Roman"/>
          <w:b/>
          <w:i w:val="0"/>
          <w:sz w:val="22"/>
        </w:rPr>
        <w:t>2.1  Approach</w:t>
      </w:r>
    </w:p>
    <w:p>
      <w:pPr>
        <w:spacing w:before="0" w:after="120" w:line="260" w:lineRule="exact"/>
      </w:pPr>
      <w:r>
        <w:rPr>
          <w:rFonts w:ascii="Times New Roman" w:hAnsi="Times New Roman"/>
          <w:b w:val="0"/>
          <w:i w:val="0"/>
          <w:sz w:val="22"/>
        </w:rPr>
        <w:t>We fine-tune BERT-base-uncased separately on two benchmark datasets — HateXPlain and TweetEval — for 3-class sequence classification (Normal / Offensive / Hate). A custom ManualAdamW optimizer is implemented to bypass a PyTorch 2.6 fused CUDA kernel incompatibility on the RTX 4060 GPU. Hyperparameter search covers learning rates in {1e-5, 2e-5, 3e-5} with batch size 8 and 3 training epochs per candidate. The best checkpoint (by validation Macro F1) is retained for each dataset.</w:t>
      </w:r>
    </w:p>
    <w:p>
      <w:pPr>
        <w:spacing w:before="0" w:after="120" w:line="260" w:lineRule="exact"/>
      </w:pPr>
      <w:r>
        <w:rPr>
          <w:rFonts w:ascii="Times New Roman" w:hAnsi="Times New Roman"/>
          <w:b w:val="0"/>
          <w:i w:val="0"/>
          <w:sz w:val="22"/>
        </w:rPr>
        <w:t>To address class imbalance (Hate speech is underrepresented in both datasets), class weights are computed via sklearn's compute_class_weight('balanced') and applied through a weighted CrossEntropyLoss. Fine-tuned models are persisted as saved_model_bert_hx (HateXPlain) and saved_model_bert_te (TweetEval).</w:t>
      </w:r>
    </w:p>
    <w:p>
      <w:pPr>
        <w:spacing w:before="160" w:after="80"/>
      </w:pPr>
      <w:r>
        <w:rPr>
          <w:rFonts w:ascii="Times New Roman" w:hAnsi="Times New Roman"/>
          <w:b/>
          <w:i w:val="0"/>
          <w:sz w:val="22"/>
        </w:rPr>
        <w:t>2.2  Results on Original Social-Media Test Sets</w:t>
      </w:r>
    </w:p>
    <w:p>
      <w:pPr>
        <w:spacing w:before="0" w:after="120" w:line="260" w:lineRule="exact"/>
      </w:pPr>
      <w:r>
        <w:rPr>
          <w:rFonts w:ascii="Times New Roman" w:hAnsi="Times New Roman"/>
          <w:b w:val="0"/>
          <w:i w:val="0"/>
          <w:sz w:val="22"/>
        </w:rPr>
        <w:t>Each fine-tuned model is first evaluated on its corresponding held-out test split (HateXPlain test set for BERT-HateXplain; TweetEval test set for BERT-TweetEval). Both models achieve solid performance on the social-media domain they were trained on:</w:t>
      </w:r>
    </w:p>
    <w:p>
      <w:pPr>
        <w:spacing w:before="80" w:after="40"/>
        <w:jc w:val="center"/>
      </w:pPr>
      <w:r>
        <w:rPr>
          <w:rFonts w:ascii="Times New Roman" w:hAnsi="Times New Roman"/>
          <w:b w:val="0"/>
          <w:i/>
          <w:sz w:val="20"/>
        </w:rPr>
        <w:t>Table 2.  Fine-tuned BERT — Performance on Original Social-Media Domain Test Sets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984"/>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Model</w:t>
            </w:r>
          </w:p>
        </w:tc>
        <w:tc>
          <w:tcPr>
            <w:tcW w:type="dxa" w:w="1587"/>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Test Set</w:t>
            </w:r>
          </w:p>
        </w:tc>
        <w:tc>
          <w:tcPr>
            <w:tcW w:type="dxa" w:w="1134"/>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Accuracy</w:t>
            </w:r>
          </w:p>
        </w:tc>
        <w:tc>
          <w:tcPr>
            <w:tcW w:type="dxa" w:w="1134"/>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Macro F1</w:t>
            </w:r>
          </w:p>
        </w:tc>
        <w:tc>
          <w:tcPr>
            <w:tcW w:type="dxa" w:w="1134"/>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F1 Normal</w:t>
            </w:r>
          </w:p>
        </w:tc>
        <w:tc>
          <w:tcPr>
            <w:tcW w:type="dxa" w:w="1417"/>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F1 Offensive</w:t>
            </w:r>
          </w:p>
        </w:tc>
        <w:tc>
          <w:tcPr>
            <w:tcW w:type="dxa" w:w="1134"/>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F1 Hate</w:t>
            </w:r>
          </w:p>
        </w:tc>
      </w:tr>
      <w:tr>
        <w:tc>
          <w:tcPr>
            <w:tcW w:type="dxa" w:w="1984"/>
            <w:shd w:val="clear" w:color="auto" w:fill="DCE6F1"/>
            <w:tcBorders>
              <w:top w:val="single" w:sz="4" w:space="0" w:color="BFBFBF"/>
              <w:left w:val="single" w:sz="4" w:space="0" w:color="BFBFBF"/>
              <w:bottom w:val="single" w:sz="4" w:space="0" w:color="BFBFBF"/>
              <w:right w:val="single" w:sz="4" w:space="0" w:color="BFBFBF"/>
            </w:tcBorders>
            <w:vAlign w:val="center"/>
          </w:tcPr>
          <w:p>
            <w:pPr>
              <w:jc w:val="left"/>
            </w:pPr>
            <w:r>
              <w:rPr>
                <w:rFonts w:ascii="Times New Roman" w:hAnsi="Times New Roman"/>
                <w:b w:val="0"/>
                <w:i w:val="0"/>
                <w:sz w:val="20"/>
              </w:rPr>
              <w:t>BERT-HateXplain</w:t>
            </w:r>
          </w:p>
        </w:tc>
        <w:tc>
          <w:tcPr>
            <w:tcW w:type="dxa" w:w="1587"/>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HateXPlain</w:t>
            </w:r>
          </w:p>
        </w:tc>
        <w:tc>
          <w:tcPr>
            <w:tcW w:type="dxa" w:w="1134"/>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0.669</w:t>
            </w:r>
          </w:p>
        </w:tc>
        <w:tc>
          <w:tcPr>
            <w:tcW w:type="dxa" w:w="1134"/>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0.662</w:t>
            </w:r>
          </w:p>
        </w:tc>
        <w:tc>
          <w:tcPr>
            <w:tcW w:type="dxa" w:w="1134"/>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0.717</w:t>
            </w:r>
          </w:p>
        </w:tc>
        <w:tc>
          <w:tcPr>
            <w:tcW w:type="dxa" w:w="1417"/>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0.536</w:t>
            </w:r>
          </w:p>
        </w:tc>
        <w:tc>
          <w:tcPr>
            <w:tcW w:type="dxa" w:w="1134"/>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0.733</w:t>
            </w:r>
          </w:p>
        </w:tc>
      </w:tr>
      <w:tr>
        <w:tc>
          <w:tcPr>
            <w:tcW w:type="dxa" w:w="1984"/>
            <w:shd w:val="clear" w:color="auto" w:fill="FFFFFF"/>
            <w:tcBorders>
              <w:top w:val="single" w:sz="4" w:space="0" w:color="BFBFBF"/>
              <w:left w:val="single" w:sz="4" w:space="0" w:color="BFBFBF"/>
              <w:bottom w:val="single" w:sz="4" w:space="0" w:color="BFBFBF"/>
              <w:right w:val="single" w:sz="4" w:space="0" w:color="BFBFBF"/>
            </w:tcBorders>
            <w:vAlign w:val="center"/>
          </w:tcPr>
          <w:p>
            <w:pPr>
              <w:jc w:val="left"/>
            </w:pPr>
            <w:r>
              <w:rPr>
                <w:rFonts w:ascii="Times New Roman" w:hAnsi="Times New Roman"/>
                <w:b w:val="0"/>
                <w:i w:val="0"/>
                <w:sz w:val="20"/>
              </w:rPr>
              <w:t>BERT-TweetEval</w:t>
            </w:r>
          </w:p>
        </w:tc>
        <w:tc>
          <w:tcPr>
            <w:tcW w:type="dxa" w:w="1587"/>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TweetEval</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0.579</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0.536</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0.536</w:t>
            </w:r>
          </w:p>
        </w:tc>
        <w:tc>
          <w:tcPr>
            <w:tcW w:type="dxa" w:w="1417"/>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0.432</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0.639</w:t>
            </w:r>
          </w:p>
        </w:tc>
      </w:tr>
    </w:tbl>
    <w:p>
      <w:pPr>
        <w:spacing w:before="0" w:after="120" w:line="260" w:lineRule="exact"/>
      </w:pPr>
      <w:r>
        <w:rPr>
          <w:rFonts w:ascii="Times New Roman" w:hAnsi="Times New Roman"/>
          <w:b w:val="0"/>
          <w:i w:val="0"/>
          <w:sz w:val="22"/>
        </w:rPr>
        <w:t>Both models recognise all three classes effectively in the social-media domain. BERT-HateXplain achieves F1 Hate = 0.733 on the HateXPlain test set, and BERT-TweetEval achieves F1 Hate = 0.639 on TweetEval. The confusion matrices below confirm that predictions are well distributed across all three classes.</w:t>
      </w:r>
    </w:p>
    <w:tbl>
      <w:tblPr>
        <w:tblW w:type="auto" w:w="0"/>
        <w:jc w:val="center"/>
        <w:tblLook w:firstColumn="1" w:firstRow="1" w:lastColumn="0" w:lastRow="0" w:noHBand="0" w:noVBand="1" w:val="04A0"/>
      </w:tblPr>
      <w:tblGrid>
        <w:gridCol w:w="4421"/>
        <w:gridCol w:w="4421"/>
      </w:tblGrid>
      <w:tr>
        <w:tc>
          <w:tcPr>
            <w:tcW w:type="dxa" w:w="4421"/>
            <w:tcBorders>
              <w:top w:val="none"/>
              <w:left w:val="none"/>
              <w:bottom w:val="none"/>
              <w:right w:val="none"/>
              <w:insideH w:val="none"/>
              <w:insideV w:val="none"/>
            </w:tcBorders>
          </w:tcPr>
          <w:p>
            <w:pPr>
              <w:jc w:val="center"/>
            </w:pPr>
            <w:r>
              <w:drawing>
                <wp:inline xmlns:a="http://schemas.openxmlformats.org/drawingml/2006/main" xmlns:pic="http://schemas.openxmlformats.org/drawingml/2006/picture">
                  <wp:extent cx="2651760" cy="2209800"/>
                  <wp:docPr id="9" name="Picture 9"/>
                  <wp:cNvGraphicFramePr>
                    <a:graphicFrameLocks noChangeAspect="1"/>
                  </wp:cNvGraphicFramePr>
                  <a:graphic>
                    <a:graphicData uri="http://schemas.openxmlformats.org/drawingml/2006/picture">
                      <pic:pic>
                        <pic:nvPicPr>
                          <pic:cNvPr id="0" name="bert_finetune_hatexplain_cm.png"/>
                          <pic:cNvPicPr/>
                        </pic:nvPicPr>
                        <pic:blipFill>
                          <a:blip r:embed="rId17"/>
                          <a:stretch>
                            <a:fillRect/>
                          </a:stretch>
                        </pic:blipFill>
                        <pic:spPr>
                          <a:xfrm>
                            <a:off x="0" y="0"/>
                            <a:ext cx="2651760" cy="2209800"/>
                          </a:xfrm>
                          <a:prstGeom prst="rect"/>
                        </pic:spPr>
                      </pic:pic>
                    </a:graphicData>
                  </a:graphic>
                </wp:inline>
              </w:drawing>
            </w:r>
          </w:p>
        </w:tc>
        <w:tc>
          <w:tcPr>
            <w:tcW w:type="dxa" w:w="4421"/>
            <w:tcBorders>
              <w:top w:val="none"/>
              <w:left w:val="none"/>
              <w:bottom w:val="none"/>
              <w:right w:val="none"/>
              <w:insideH w:val="none"/>
              <w:insideV w:val="none"/>
            </w:tcBorders>
          </w:tcPr>
          <w:p>
            <w:pPr>
              <w:jc w:val="center"/>
            </w:pPr>
            <w:r>
              <w:drawing>
                <wp:inline xmlns:a="http://schemas.openxmlformats.org/drawingml/2006/main" xmlns:pic="http://schemas.openxmlformats.org/drawingml/2006/picture">
                  <wp:extent cx="2651760" cy="2209800"/>
                  <wp:docPr id="10" name="Picture 10"/>
                  <wp:cNvGraphicFramePr>
                    <a:graphicFrameLocks noChangeAspect="1"/>
                  </wp:cNvGraphicFramePr>
                  <a:graphic>
                    <a:graphicData uri="http://schemas.openxmlformats.org/drawingml/2006/picture">
                      <pic:pic>
                        <pic:nvPicPr>
                          <pic:cNvPr id="0" name="bert_finetune_tweeteval_cm.png"/>
                          <pic:cNvPicPr/>
                        </pic:nvPicPr>
                        <pic:blipFill>
                          <a:blip r:embed="rId18"/>
                          <a:stretch>
                            <a:fillRect/>
                          </a:stretch>
                        </pic:blipFill>
                        <pic:spPr>
                          <a:xfrm>
                            <a:off x="0" y="0"/>
                            <a:ext cx="2651760" cy="2209800"/>
                          </a:xfrm>
                          <a:prstGeom prst="rect"/>
                        </pic:spPr>
                      </pic:pic>
                    </a:graphicData>
                  </a:graphic>
                </wp:inline>
              </w:drawing>
            </w:r>
          </w:p>
        </w:tc>
      </w:tr>
      <w:tr>
        <w:tc>
          <w:tcPr>
            <w:tcW w:type="dxa" w:w="4421"/>
            <w:tcBorders>
              <w:top w:val="none"/>
              <w:left w:val="none"/>
              <w:bottom w:val="none"/>
              <w:right w:val="none"/>
              <w:insideH w:val="none"/>
              <w:insideV w:val="none"/>
            </w:tcBorders>
          </w:tcPr>
          <w:p>
            <w:pPr>
              <w:jc w:val="center"/>
            </w:pPr>
            <w:r>
              <w:rPr>
                <w:rFonts w:ascii="Times New Roman" w:hAnsi="Times New Roman"/>
                <w:b w:val="0"/>
                <w:i/>
                <w:color w:val="606060"/>
                <w:sz w:val="18"/>
              </w:rPr>
              <w:t>Figure 1. BERT-HateXplain on HateXPlain test set</w:t>
            </w:r>
          </w:p>
        </w:tc>
        <w:tc>
          <w:tcPr>
            <w:tcW w:type="dxa" w:w="4421"/>
            <w:tcBorders>
              <w:top w:val="none"/>
              <w:left w:val="none"/>
              <w:bottom w:val="none"/>
              <w:right w:val="none"/>
              <w:insideH w:val="none"/>
              <w:insideV w:val="none"/>
            </w:tcBorders>
          </w:tcPr>
          <w:p>
            <w:pPr>
              <w:jc w:val="center"/>
            </w:pPr>
            <w:r>
              <w:rPr>
                <w:rFonts w:ascii="Times New Roman" w:hAnsi="Times New Roman"/>
                <w:b w:val="0"/>
                <w:i/>
                <w:color w:val="606060"/>
                <w:sz w:val="18"/>
              </w:rPr>
              <w:t>Figure 2. BERT-TweetEval on TweetEval test set</w:t>
            </w:r>
          </w:p>
        </w:tc>
      </w:tr>
    </w:tbl>
    <w:p/>
    <w:p>
      <w:pPr>
        <w:spacing w:before="160" w:after="80"/>
      </w:pPr>
      <w:r>
        <w:rPr>
          <w:rFonts w:ascii="Times New Roman" w:hAnsi="Times New Roman"/>
          <w:b/>
          <w:i w:val="0"/>
          <w:sz w:val="22"/>
        </w:rPr>
        <w:t>2.3  Cross-Domain Evaluation: Course Review Test Set</w:t>
      </w:r>
    </w:p>
    <w:p>
      <w:pPr>
        <w:spacing w:before="0" w:after="120" w:line="260" w:lineRule="exact"/>
      </w:pPr>
      <w:r>
        <w:rPr>
          <w:rFonts w:ascii="Times New Roman" w:hAnsi="Times New Roman"/>
          <w:b w:val="0"/>
          <w:i w:val="0"/>
          <w:sz w:val="22"/>
        </w:rPr>
        <w:t>To assess real-world applicability, both fine-tuned models are additionally evaluated on a custom course-review test set comprising 286 samples collected from university course evaluations (50% Normal / 25% Offensive / 25% Hate). This dataset covers institutional offensive language — negative course reviews, personal attacks on instructors — which is stylistically distinct from the social-media content the models were trained on.</w:t>
      </w:r>
    </w:p>
    <w:p>
      <w:pPr>
        <w:spacing w:before="80" w:after="40"/>
        <w:jc w:val="center"/>
      </w:pPr>
      <w:r>
        <w:rPr>
          <w:rFonts w:ascii="Times New Roman" w:hAnsi="Times New Roman"/>
          <w:b w:val="0"/>
          <w:i/>
          <w:sz w:val="20"/>
        </w:rPr>
        <w:t>Table 3.  Fine-tuned BERT — Performance on Course Review Test Set (n = 286)</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984"/>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Model</w:t>
            </w:r>
          </w:p>
        </w:tc>
        <w:tc>
          <w:tcPr>
            <w:tcW w:type="dxa" w:w="1587"/>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Test Set</w:t>
            </w:r>
          </w:p>
        </w:tc>
        <w:tc>
          <w:tcPr>
            <w:tcW w:type="dxa" w:w="1134"/>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Accuracy</w:t>
            </w:r>
          </w:p>
        </w:tc>
        <w:tc>
          <w:tcPr>
            <w:tcW w:type="dxa" w:w="1134"/>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Macro F1</w:t>
            </w:r>
          </w:p>
        </w:tc>
        <w:tc>
          <w:tcPr>
            <w:tcW w:type="dxa" w:w="1134"/>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F1 Normal</w:t>
            </w:r>
          </w:p>
        </w:tc>
        <w:tc>
          <w:tcPr>
            <w:tcW w:type="dxa" w:w="1417"/>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F1 Offensive</w:t>
            </w:r>
          </w:p>
        </w:tc>
        <w:tc>
          <w:tcPr>
            <w:tcW w:type="dxa" w:w="1134"/>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F1 Hate</w:t>
            </w:r>
          </w:p>
        </w:tc>
      </w:tr>
      <w:tr>
        <w:tc>
          <w:tcPr>
            <w:tcW w:type="dxa" w:w="1984"/>
            <w:shd w:val="clear" w:color="auto" w:fill="DCE6F1"/>
            <w:tcBorders>
              <w:top w:val="single" w:sz="4" w:space="0" w:color="BFBFBF"/>
              <w:left w:val="single" w:sz="4" w:space="0" w:color="BFBFBF"/>
              <w:bottom w:val="single" w:sz="4" w:space="0" w:color="BFBFBF"/>
              <w:right w:val="single" w:sz="4" w:space="0" w:color="BFBFBF"/>
            </w:tcBorders>
            <w:vAlign w:val="center"/>
          </w:tcPr>
          <w:p>
            <w:pPr>
              <w:jc w:val="left"/>
            </w:pPr>
            <w:r>
              <w:rPr>
                <w:rFonts w:ascii="Times New Roman" w:hAnsi="Times New Roman"/>
                <w:b w:val="0"/>
                <w:i w:val="0"/>
                <w:sz w:val="20"/>
              </w:rPr>
              <w:t>BERT-HateXplain</w:t>
            </w:r>
          </w:p>
        </w:tc>
        <w:tc>
          <w:tcPr>
            <w:tcW w:type="dxa" w:w="1587"/>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Course (OOD)</w:t>
            </w:r>
          </w:p>
        </w:tc>
        <w:tc>
          <w:tcPr>
            <w:tcW w:type="dxa" w:w="1134"/>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0.535</w:t>
            </w:r>
          </w:p>
        </w:tc>
        <w:tc>
          <w:tcPr>
            <w:tcW w:type="dxa" w:w="1134"/>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0.295</w:t>
            </w:r>
          </w:p>
        </w:tc>
        <w:tc>
          <w:tcPr>
            <w:tcW w:type="dxa" w:w="1134"/>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0.714</w:t>
            </w:r>
          </w:p>
        </w:tc>
        <w:tc>
          <w:tcPr>
            <w:tcW w:type="dxa" w:w="1417"/>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0.172</w:t>
            </w:r>
          </w:p>
        </w:tc>
        <w:tc>
          <w:tcPr>
            <w:tcW w:type="dxa" w:w="1134"/>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0.000</w:t>
            </w:r>
          </w:p>
        </w:tc>
      </w:tr>
      <w:tr>
        <w:tc>
          <w:tcPr>
            <w:tcW w:type="dxa" w:w="1984"/>
            <w:shd w:val="clear" w:color="auto" w:fill="FFFFFF"/>
            <w:tcBorders>
              <w:top w:val="single" w:sz="4" w:space="0" w:color="BFBFBF"/>
              <w:left w:val="single" w:sz="4" w:space="0" w:color="BFBFBF"/>
              <w:bottom w:val="single" w:sz="4" w:space="0" w:color="BFBFBF"/>
              <w:right w:val="single" w:sz="4" w:space="0" w:color="BFBFBF"/>
            </w:tcBorders>
            <w:vAlign w:val="center"/>
          </w:tcPr>
          <w:p>
            <w:pPr>
              <w:jc w:val="left"/>
            </w:pPr>
            <w:r>
              <w:rPr>
                <w:rFonts w:ascii="Times New Roman" w:hAnsi="Times New Roman"/>
                <w:b w:val="0"/>
                <w:i w:val="0"/>
                <w:sz w:val="20"/>
              </w:rPr>
              <w:t>BERT-TweetEval</w:t>
            </w:r>
          </w:p>
        </w:tc>
        <w:tc>
          <w:tcPr>
            <w:tcW w:type="dxa" w:w="1587"/>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Course (OOD)</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0.514</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0.252</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0.714</w:t>
            </w:r>
          </w:p>
        </w:tc>
        <w:tc>
          <w:tcPr>
            <w:tcW w:type="dxa" w:w="1417"/>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0.043</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0.000</w:t>
            </w:r>
          </w:p>
        </w:tc>
      </w:tr>
    </w:tbl>
    <w:p>
      <w:pPr>
        <w:spacing w:before="0" w:after="120" w:line="260" w:lineRule="exact"/>
      </w:pPr>
      <w:r>
        <w:rPr>
          <w:rFonts w:ascii="Times New Roman" w:hAnsi="Times New Roman"/>
          <w:b w:val="0"/>
          <w:i w:val="0"/>
          <w:sz w:val="22"/>
        </w:rPr>
        <w:t>Performance collapses on the course domain. F1 Hate drops to 0.000 for both models — neither model successfully identifies a single course-domain Hate sample. F1 Offensive also degrades sharply (0.536 → 0.172 for BERT-HateXplain; 0.432 → 0.043 for BERT-TweetEval). The models default to predicting Normal for nearly all inputs, which is confirmed by the confusion matrices below.</w:t>
      </w:r>
    </w:p>
    <w:tbl>
      <w:tblPr>
        <w:tblW w:type="auto" w:w="0"/>
        <w:jc w:val="center"/>
        <w:tblLook w:firstColumn="1" w:firstRow="1" w:lastColumn="0" w:lastRow="0" w:noHBand="0" w:noVBand="1" w:val="04A0"/>
      </w:tblPr>
      <w:tblGrid>
        <w:gridCol w:w="4421"/>
        <w:gridCol w:w="4421"/>
      </w:tblGrid>
      <w:tr>
        <w:tc>
          <w:tcPr>
            <w:tcW w:type="dxa" w:w="4421"/>
            <w:tcBorders>
              <w:top w:val="none"/>
              <w:left w:val="none"/>
              <w:bottom w:val="none"/>
              <w:right w:val="none"/>
              <w:insideH w:val="none"/>
              <w:insideV w:val="none"/>
            </w:tcBorders>
          </w:tcPr>
          <w:p>
            <w:pPr>
              <w:jc w:val="center"/>
            </w:pPr>
            <w:r>
              <w:drawing>
                <wp:inline xmlns:a="http://schemas.openxmlformats.org/drawingml/2006/main" xmlns:pic="http://schemas.openxmlformats.org/drawingml/2006/picture">
                  <wp:extent cx="2651760" cy="2209800"/>
                  <wp:docPr id="11" name="Picture 11"/>
                  <wp:cNvGraphicFramePr>
                    <a:graphicFrameLocks noChangeAspect="1"/>
                  </wp:cNvGraphicFramePr>
                  <a:graphic>
                    <a:graphicData uri="http://schemas.openxmlformats.org/drawingml/2006/picture">
                      <pic:pic>
                        <pic:nvPicPr>
                          <pic:cNvPr id="0" name="course_test_BERT-HateXplain_3-class_cm.png"/>
                          <pic:cNvPicPr/>
                        </pic:nvPicPr>
                        <pic:blipFill>
                          <a:blip r:embed="rId19"/>
                          <a:stretch>
                            <a:fillRect/>
                          </a:stretch>
                        </pic:blipFill>
                        <pic:spPr>
                          <a:xfrm>
                            <a:off x="0" y="0"/>
                            <a:ext cx="2651760" cy="2209800"/>
                          </a:xfrm>
                          <a:prstGeom prst="rect"/>
                        </pic:spPr>
                      </pic:pic>
                    </a:graphicData>
                  </a:graphic>
                </wp:inline>
              </w:drawing>
            </w:r>
          </w:p>
        </w:tc>
        <w:tc>
          <w:tcPr>
            <w:tcW w:type="dxa" w:w="4421"/>
            <w:tcBorders>
              <w:top w:val="none"/>
              <w:left w:val="none"/>
              <w:bottom w:val="none"/>
              <w:right w:val="none"/>
              <w:insideH w:val="none"/>
              <w:insideV w:val="none"/>
            </w:tcBorders>
          </w:tcPr>
          <w:p>
            <w:pPr>
              <w:jc w:val="center"/>
            </w:pPr>
            <w:r>
              <w:drawing>
                <wp:inline xmlns:a="http://schemas.openxmlformats.org/drawingml/2006/main" xmlns:pic="http://schemas.openxmlformats.org/drawingml/2006/picture">
                  <wp:extent cx="2651760" cy="2209800"/>
                  <wp:docPr id="12" name="Picture 12"/>
                  <wp:cNvGraphicFramePr>
                    <a:graphicFrameLocks noChangeAspect="1"/>
                  </wp:cNvGraphicFramePr>
                  <a:graphic>
                    <a:graphicData uri="http://schemas.openxmlformats.org/drawingml/2006/picture">
                      <pic:pic>
                        <pic:nvPicPr>
                          <pic:cNvPr id="0" name="course_test_BERT-TweetEval__3-class_cm.png"/>
                          <pic:cNvPicPr/>
                        </pic:nvPicPr>
                        <pic:blipFill>
                          <a:blip r:embed="rId20"/>
                          <a:stretch>
                            <a:fillRect/>
                          </a:stretch>
                        </pic:blipFill>
                        <pic:spPr>
                          <a:xfrm>
                            <a:off x="0" y="0"/>
                            <a:ext cx="2651760" cy="2209800"/>
                          </a:xfrm>
                          <a:prstGeom prst="rect"/>
                        </pic:spPr>
                      </pic:pic>
                    </a:graphicData>
                  </a:graphic>
                </wp:inline>
              </w:drawing>
            </w:r>
          </w:p>
        </w:tc>
      </w:tr>
      <w:tr>
        <w:tc>
          <w:tcPr>
            <w:tcW w:type="dxa" w:w="4421"/>
            <w:tcBorders>
              <w:top w:val="none"/>
              <w:left w:val="none"/>
              <w:bottom w:val="none"/>
              <w:right w:val="none"/>
              <w:insideH w:val="none"/>
              <w:insideV w:val="none"/>
            </w:tcBorders>
          </w:tcPr>
          <w:p>
            <w:pPr>
              <w:jc w:val="center"/>
            </w:pPr>
            <w:r>
              <w:rPr>
                <w:rFonts w:ascii="Times New Roman" w:hAnsi="Times New Roman"/>
                <w:b w:val="0"/>
                <w:i/>
                <w:color w:val="606060"/>
                <w:sz w:val="18"/>
              </w:rPr>
              <w:t>Figure 3. BERT-HateXplain on course test (OOD)</w:t>
            </w:r>
          </w:p>
        </w:tc>
        <w:tc>
          <w:tcPr>
            <w:tcW w:type="dxa" w:w="4421"/>
            <w:tcBorders>
              <w:top w:val="none"/>
              <w:left w:val="none"/>
              <w:bottom w:val="none"/>
              <w:right w:val="none"/>
              <w:insideH w:val="none"/>
              <w:insideV w:val="none"/>
            </w:tcBorders>
          </w:tcPr>
          <w:p>
            <w:pPr>
              <w:jc w:val="center"/>
            </w:pPr>
            <w:r>
              <w:rPr>
                <w:rFonts w:ascii="Times New Roman" w:hAnsi="Times New Roman"/>
                <w:b w:val="0"/>
                <w:i/>
                <w:color w:val="606060"/>
                <w:sz w:val="18"/>
              </w:rPr>
              <w:t>Figure 4. BERT-TweetEval on course test (OOD)</w:t>
            </w:r>
          </w:p>
        </w:tc>
      </w:tr>
    </w:tbl>
    <w:p/>
    <w:p>
      <w:pPr>
        <w:spacing w:before="0" w:after="120" w:line="260" w:lineRule="exact"/>
      </w:pPr>
      <w:r>
        <w:rPr>
          <w:rFonts w:ascii="Times New Roman" w:hAnsi="Times New Roman"/>
          <w:b w:val="0"/>
          <w:i w:val="0"/>
          <w:sz w:val="22"/>
        </w:rPr>
        <w:t>This reveals a severe domain shift problem: social-media hate speech classifiers trained on racial and religious slurs do not recognise course-domain offensive language such as "this lecturer is an aggressive bully" or "fucking trash course". The vocabulary, targets, and linguistic register are fundamentally different.</w:t>
      </w:r>
    </w:p>
    <w:p>
      <w:pPr>
        <w:spacing w:before="80" w:after="40"/>
        <w:jc w:val="center"/>
      </w:pPr>
      <w:r>
        <w:rPr>
          <w:rFonts w:ascii="Times New Roman" w:hAnsi="Times New Roman"/>
          <w:b w:val="0"/>
          <w:i/>
          <w:sz w:val="20"/>
        </w:rPr>
        <w:t>Table 4.  Domain Shift Summary — Original vs. Course Domain Performance</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2154"/>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Model</w:t>
            </w:r>
          </w:p>
        </w:tc>
        <w:tc>
          <w:tcPr>
            <w:tcW w:type="dxa" w:w="1701"/>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Original Domain</w:t>
              <w:br/>
              <w:t>Macro F1</w:t>
            </w:r>
          </w:p>
        </w:tc>
        <w:tc>
          <w:tcPr>
            <w:tcW w:type="dxa" w:w="1701"/>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Course Domain</w:t>
              <w:br/>
              <w:t>Macro F1</w:t>
            </w:r>
          </w:p>
        </w:tc>
        <w:tc>
          <w:tcPr>
            <w:tcW w:type="dxa" w:w="1417"/>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F1 Hate (orig.)</w:t>
            </w:r>
          </w:p>
        </w:tc>
        <w:tc>
          <w:tcPr>
            <w:tcW w:type="dxa" w:w="1417"/>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F1 Hate (course)</w:t>
            </w:r>
          </w:p>
        </w:tc>
      </w:tr>
      <w:tr>
        <w:tc>
          <w:tcPr>
            <w:tcW w:type="dxa" w:w="2154"/>
            <w:shd w:val="clear" w:color="auto" w:fill="DCE6F1"/>
            <w:tcBorders>
              <w:top w:val="single" w:sz="4" w:space="0" w:color="BFBFBF"/>
              <w:left w:val="single" w:sz="4" w:space="0" w:color="BFBFBF"/>
              <w:bottom w:val="single" w:sz="4" w:space="0" w:color="BFBFBF"/>
              <w:right w:val="single" w:sz="4" w:space="0" w:color="BFBFBF"/>
            </w:tcBorders>
            <w:vAlign w:val="center"/>
          </w:tcPr>
          <w:p>
            <w:pPr>
              <w:jc w:val="left"/>
            </w:pPr>
            <w:r>
              <w:rPr>
                <w:rFonts w:ascii="Times New Roman" w:hAnsi="Times New Roman"/>
                <w:b w:val="0"/>
                <w:i w:val="0"/>
                <w:sz w:val="20"/>
              </w:rPr>
              <w:t>BERT-HateXplain</w:t>
            </w:r>
          </w:p>
        </w:tc>
        <w:tc>
          <w:tcPr>
            <w:tcW w:type="dxa" w:w="1701"/>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0.662</w:t>
            </w:r>
          </w:p>
        </w:tc>
        <w:tc>
          <w:tcPr>
            <w:tcW w:type="dxa" w:w="1701"/>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0.295</w:t>
            </w:r>
          </w:p>
        </w:tc>
        <w:tc>
          <w:tcPr>
            <w:tcW w:type="dxa" w:w="1417"/>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0.733</w:t>
            </w:r>
          </w:p>
        </w:tc>
        <w:tc>
          <w:tcPr>
            <w:tcW w:type="dxa" w:w="1417"/>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0.000</w:t>
            </w:r>
          </w:p>
        </w:tc>
      </w:tr>
      <w:tr>
        <w:tc>
          <w:tcPr>
            <w:tcW w:type="dxa" w:w="2154"/>
            <w:shd w:val="clear" w:color="auto" w:fill="FFFFFF"/>
            <w:tcBorders>
              <w:top w:val="single" w:sz="4" w:space="0" w:color="BFBFBF"/>
              <w:left w:val="single" w:sz="4" w:space="0" w:color="BFBFBF"/>
              <w:bottom w:val="single" w:sz="4" w:space="0" w:color="BFBFBF"/>
              <w:right w:val="single" w:sz="4" w:space="0" w:color="BFBFBF"/>
            </w:tcBorders>
            <w:vAlign w:val="center"/>
          </w:tcPr>
          <w:p>
            <w:pPr>
              <w:jc w:val="left"/>
            </w:pPr>
            <w:r>
              <w:rPr>
                <w:rFonts w:ascii="Times New Roman" w:hAnsi="Times New Roman"/>
                <w:b w:val="0"/>
                <w:i w:val="0"/>
                <w:sz w:val="20"/>
              </w:rPr>
              <w:t>BERT-TweetEval</w:t>
            </w:r>
          </w:p>
        </w:tc>
        <w:tc>
          <w:tcPr>
            <w:tcW w:type="dxa" w:w="1701"/>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0.536</w:t>
            </w:r>
          </w:p>
        </w:tc>
        <w:tc>
          <w:tcPr>
            <w:tcW w:type="dxa" w:w="1701"/>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0.252</w:t>
            </w:r>
          </w:p>
        </w:tc>
        <w:tc>
          <w:tcPr>
            <w:tcW w:type="dxa" w:w="1417"/>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0.639</w:t>
            </w:r>
          </w:p>
        </w:tc>
        <w:tc>
          <w:tcPr>
            <w:tcW w:type="dxa" w:w="1417"/>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0.000</w:t>
            </w:r>
          </w:p>
        </w:tc>
      </w:tr>
    </w:tbl>
    <w:p>
      <w:pPr>
        <w:spacing w:before="160" w:after="80"/>
      </w:pPr>
      <w:r>
        <w:rPr>
          <w:rFonts w:ascii="Times New Roman" w:hAnsi="Times New Roman"/>
          <w:b/>
          <w:i w:val="0"/>
          <w:sz w:val="22"/>
        </w:rPr>
        <w:t>2.4  Domain Adaptation Fine-Tuning</w:t>
      </w:r>
    </w:p>
    <w:p>
      <w:pPr>
        <w:spacing w:before="0" w:after="120" w:line="260" w:lineRule="exact"/>
      </w:pPr>
      <w:r>
        <w:rPr>
          <w:rFonts w:ascii="Times New Roman" w:hAnsi="Times New Roman"/>
          <w:b w:val="0"/>
          <w:i w:val="0"/>
          <w:sz w:val="22"/>
        </w:rPr>
        <w:t>To resolve the domain shift, domain adaptation fine-tuning is applied starting from saved_model_bert_hx — the model with the highest baseline performance on the course domain. Fine-tuning continues on 251 course-domain training samples using a small learning rate (2e-5) to avoid catastrophic forgetting of the original social-media knowledge. Class weights (Normal=0.450 / Offensive=1.946 / Hate=3.803) address the imbalanced course-domain distribution (74% / 17% / 9%), and training runs for 5 epochs.</w:t>
      </w:r>
    </w:p>
    <w:p>
      <w:pPr>
        <w:spacing w:before="80" w:after="40"/>
        <w:jc w:val="center"/>
      </w:pPr>
      <w:r>
        <w:rPr>
          <w:rFonts w:ascii="Times New Roman" w:hAnsi="Times New Roman"/>
          <w:b w:val="0"/>
          <w:i/>
          <w:sz w:val="20"/>
        </w:rPr>
        <w:t>Table 5.  BERT-HateXplain Before and After Domain Adaptation (Course Test Set, n = 286)</w:t>
      </w:r>
    </w:p>
    <w:tbl>
      <w:tblPr>
        <w:tblStyle w:val="TableGrid"/>
        <w:tblW w:type="auto" w:w="0"/>
        <w:jc w:val="center"/>
        <w:tblLook w:firstColumn="1" w:firstRow="1" w:lastColumn="0" w:lastRow="0" w:noHBand="0" w:noVBand="1" w:val="04A0"/>
      </w:tblPr>
      <w:tblGrid>
        <w:gridCol w:w="1474"/>
        <w:gridCol w:w="1474"/>
        <w:gridCol w:w="1474"/>
        <w:gridCol w:w="1474"/>
        <w:gridCol w:w="1474"/>
        <w:gridCol w:w="1474"/>
      </w:tblGrid>
      <w:tr>
        <w:tc>
          <w:tcPr>
            <w:tcW w:type="dxa" w:w="2948"/>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Stage</w:t>
            </w:r>
          </w:p>
        </w:tc>
        <w:tc>
          <w:tcPr>
            <w:tcW w:type="dxa" w:w="1134"/>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Accuracy</w:t>
            </w:r>
          </w:p>
        </w:tc>
        <w:tc>
          <w:tcPr>
            <w:tcW w:type="dxa" w:w="1134"/>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Macro F1</w:t>
            </w:r>
          </w:p>
        </w:tc>
        <w:tc>
          <w:tcPr>
            <w:tcW w:type="dxa" w:w="1247"/>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F1 Normal</w:t>
            </w:r>
          </w:p>
        </w:tc>
        <w:tc>
          <w:tcPr>
            <w:tcW w:type="dxa" w:w="1474"/>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F1 Offensive</w:t>
            </w:r>
          </w:p>
        </w:tc>
        <w:tc>
          <w:tcPr>
            <w:tcW w:type="dxa" w:w="1134"/>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F1 Hate</w:t>
            </w:r>
          </w:p>
        </w:tc>
      </w:tr>
      <w:tr>
        <w:tc>
          <w:tcPr>
            <w:tcW w:type="dxa" w:w="2948"/>
            <w:shd w:val="clear" w:color="auto" w:fill="DCE6F1"/>
            <w:tcBorders>
              <w:top w:val="single" w:sz="4" w:space="0" w:color="BFBFBF"/>
              <w:left w:val="single" w:sz="4" w:space="0" w:color="BFBFBF"/>
              <w:bottom w:val="single" w:sz="4" w:space="0" w:color="BFBFBF"/>
              <w:right w:val="single" w:sz="4" w:space="0" w:color="BFBFBF"/>
            </w:tcBorders>
            <w:vAlign w:val="center"/>
          </w:tcPr>
          <w:p>
            <w:pPr>
              <w:jc w:val="left"/>
            </w:pPr>
            <w:r>
              <w:rPr>
                <w:rFonts w:ascii="Times New Roman" w:hAnsi="Times New Roman"/>
                <w:b w:val="0"/>
                <w:i w:val="0"/>
                <w:sz w:val="20"/>
              </w:rPr>
              <w:t>Before Adaptation (social-media model)</w:t>
            </w:r>
          </w:p>
        </w:tc>
        <w:tc>
          <w:tcPr>
            <w:tcW w:type="dxa" w:w="1134"/>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0.535</w:t>
            </w:r>
          </w:p>
        </w:tc>
        <w:tc>
          <w:tcPr>
            <w:tcW w:type="dxa" w:w="1134"/>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0.295</w:t>
            </w:r>
          </w:p>
        </w:tc>
        <w:tc>
          <w:tcPr>
            <w:tcW w:type="dxa" w:w="1247"/>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0.714</w:t>
            </w:r>
          </w:p>
        </w:tc>
        <w:tc>
          <w:tcPr>
            <w:tcW w:type="dxa" w:w="1474"/>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0.172</w:t>
            </w:r>
          </w:p>
        </w:tc>
        <w:tc>
          <w:tcPr>
            <w:tcW w:type="dxa" w:w="1134"/>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0.000</w:t>
            </w:r>
          </w:p>
        </w:tc>
      </w:tr>
      <w:tr>
        <w:tc>
          <w:tcPr>
            <w:tcW w:type="dxa" w:w="2948"/>
            <w:shd w:val="clear" w:color="auto" w:fill="FFFFFF"/>
            <w:tcBorders>
              <w:top w:val="single" w:sz="4" w:space="0" w:color="BFBFBF"/>
              <w:left w:val="single" w:sz="4" w:space="0" w:color="BFBFBF"/>
              <w:bottom w:val="single" w:sz="4" w:space="0" w:color="BFBFBF"/>
              <w:right w:val="single" w:sz="4" w:space="0" w:color="BFBFBF"/>
            </w:tcBorders>
            <w:vAlign w:val="center"/>
          </w:tcPr>
          <w:p>
            <w:pPr>
              <w:jc w:val="left"/>
            </w:pPr>
            <w:r>
              <w:rPr>
                <w:rFonts w:ascii="Times New Roman" w:hAnsi="Times New Roman"/>
                <w:b w:val="0"/>
                <w:i w:val="0"/>
                <w:sz w:val="20"/>
              </w:rPr>
              <w:t>After Adaptation  (domain-adapted)</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0.888</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0.863</w:t>
            </w:r>
          </w:p>
        </w:tc>
        <w:tc>
          <w:tcPr>
            <w:tcW w:type="dxa" w:w="1247"/>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0.948</w:t>
            </w:r>
          </w:p>
        </w:tc>
        <w:tc>
          <w:tcPr>
            <w:tcW w:type="dxa" w:w="1474"/>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0.765</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0.877</w:t>
            </w:r>
          </w:p>
        </w:tc>
      </w:tr>
    </w:tbl>
    <w:p>
      <w:pPr>
        <w:jc w:val="center"/>
      </w:pPr>
      <w:r>
        <w:drawing>
          <wp:inline xmlns:a="http://schemas.openxmlformats.org/drawingml/2006/main" xmlns:pic="http://schemas.openxmlformats.org/drawingml/2006/picture">
            <wp:extent cx="2834640" cy="2362200"/>
            <wp:docPr id="13" name="Picture 13"/>
            <wp:cNvGraphicFramePr>
              <a:graphicFrameLocks noChangeAspect="1"/>
            </wp:cNvGraphicFramePr>
            <a:graphic>
              <a:graphicData uri="http://schemas.openxmlformats.org/drawingml/2006/picture">
                <pic:pic>
                  <pic:nvPicPr>
                    <pic:cNvPr id="0" name="course_domain_adapt_cm.png"/>
                    <pic:cNvPicPr/>
                  </pic:nvPicPr>
                  <pic:blipFill>
                    <a:blip r:embed="rId21"/>
                    <a:stretch>
                      <a:fillRect/>
                    </a:stretch>
                  </pic:blipFill>
                  <pic:spPr>
                    <a:xfrm>
                      <a:off x="0" y="0"/>
                      <a:ext cx="2834640" cy="2362200"/>
                    </a:xfrm>
                    <a:prstGeom prst="rect"/>
                  </pic:spPr>
                </pic:pic>
              </a:graphicData>
            </a:graphic>
          </wp:inline>
        </w:drawing>
      </w:r>
    </w:p>
    <w:p>
      <w:pPr>
        <w:jc w:val="center"/>
      </w:pPr>
      <w:r>
        <w:rPr>
          <w:rFonts w:ascii="Times New Roman" w:hAnsi="Times New Roman"/>
          <w:b w:val="0"/>
          <w:i/>
          <w:color w:val="606060"/>
          <w:sz w:val="18"/>
        </w:rPr>
        <w:t>Figure 5. BERT-HateXplain after domain adaptation — course test set</w:t>
      </w:r>
    </w:p>
    <w:p/>
    <w:p>
      <w:pPr>
        <w:spacing w:before="0" w:after="120" w:line="260" w:lineRule="exact"/>
      </w:pPr>
      <w:r>
        <w:rPr>
          <w:rFonts w:ascii="Times New Roman" w:hAnsi="Times New Roman"/>
          <w:b w:val="0"/>
          <w:i w:val="0"/>
          <w:sz w:val="22"/>
        </w:rPr>
        <w:t>Domain adaptation with only 251 course-domain samples raised Macro F1 from 0.295 to 0.863 and lifted F1 Hate from 0.000 to 0.877, demonstrating the effectiveness of continual learning with a restrained learning rate to prevent catastrophic forgetting of the original social-media knowledge.</w:t>
      </w:r>
    </w:p>
    <w:p>
      <w:pPr>
        <w:spacing w:before="280" w:after="80"/>
      </w:pPr>
      <w:r>
        <w:rPr>
          <w:rFonts w:ascii="Times New Roman" w:hAnsi="Times New Roman"/>
          <w:b/>
          <w:i w:val="0"/>
          <w:color w:val="1F497D"/>
          <w:sz w:val="26"/>
        </w:rPr>
        <w:t>3.  Cascaded Classification — Extended Method Attempt  (30 Credits)</w:t>
      </w:r>
    </w:p>
    <w:p>
      <w:pPr>
        <w:spacing w:before="160" w:after="80"/>
      </w:pPr>
      <w:r>
        <w:rPr>
          <w:rFonts w:ascii="Times New Roman" w:hAnsi="Times New Roman"/>
          <w:b/>
          <w:i w:val="0"/>
          <w:sz w:val="22"/>
        </w:rPr>
        <w:t>3.1  Motivation</w:t>
      </w:r>
    </w:p>
    <w:p>
      <w:pPr>
        <w:spacing w:before="0" w:after="120" w:line="260" w:lineRule="exact"/>
      </w:pPr>
      <w:r>
        <w:rPr>
          <w:rFonts w:ascii="Times New Roman" w:hAnsi="Times New Roman"/>
          <w:b w:val="0"/>
          <w:i w:val="0"/>
          <w:sz w:val="22"/>
        </w:rPr>
        <w:t>Given the class imbalance inherent in hate speech data (Hate is rare; Normal is dominant), a cascaded two-stage architecture was designed as a method extension. The hypothesis was that decomposing the 3-class problem into two simpler binary decisions would reduce confusion between adjacent classes and improve recall on minority classes:</w:t>
      </w:r>
    </w:p>
    <w:p>
      <w:pPr>
        <w:pStyle w:val="ListBullet"/>
        <w:spacing w:after="40"/>
      </w:pPr>
      <w:r>
        <w:rPr>
          <w:rFonts w:ascii="Times New Roman" w:hAnsi="Times New Roman"/>
          <w:b w:val="0"/>
          <w:i w:val="0"/>
          <w:sz w:val="22"/>
        </w:rPr>
        <w:t>Stage 1 — Binary classifier: Normal vs. Not-Normal</w:t>
      </w:r>
    </w:p>
    <w:p>
      <w:pPr>
        <w:pStyle w:val="ListBullet"/>
        <w:spacing w:after="40"/>
      </w:pPr>
      <w:r>
        <w:rPr>
          <w:rFonts w:ascii="Times New Roman" w:hAnsi="Times New Roman"/>
          <w:b w:val="0"/>
          <w:i w:val="0"/>
          <w:sz w:val="22"/>
        </w:rPr>
        <w:t>Stage 2 — Binary classifier: Offensive vs. Hate (applied only to samples predicted as Not-Normal by Stage 1)</w:t>
      </w:r>
    </w:p>
    <w:p>
      <w:pPr>
        <w:spacing w:before="160" w:after="80"/>
      </w:pPr>
      <w:r>
        <w:rPr>
          <w:rFonts w:ascii="Times New Roman" w:hAnsi="Times New Roman"/>
          <w:b/>
          <w:i w:val="0"/>
          <w:sz w:val="22"/>
        </w:rPr>
        <w:t>3.2  Implementation</w:t>
      </w:r>
    </w:p>
    <w:p>
      <w:pPr>
        <w:spacing w:before="0" w:after="120" w:line="260" w:lineRule="exact"/>
      </w:pPr>
      <w:r>
        <w:rPr>
          <w:rFonts w:ascii="Times New Roman" w:hAnsi="Times New Roman"/>
          <w:b w:val="0"/>
          <w:i w:val="0"/>
          <w:sz w:val="22"/>
        </w:rPr>
        <w:t>Both stages use BERT-base-uncased fine-tuned with ManualAdamW, weighted CrossEntropyLoss, and learning-rate search over {1e-5, 2e-5, 3e-5}. Course-domain data was mixed into training sets to attempt cross-domain generalisation. Stage models are saved as saved_model_bert_hx_stage1 / stage2 (HateXPlain) and saved_model_bert_te_stage1 / stage2 (TweetEval).</w:t>
      </w:r>
    </w:p>
    <w:p>
      <w:pPr>
        <w:spacing w:before="160" w:after="80"/>
      </w:pPr>
      <w:r>
        <w:rPr>
          <w:rFonts w:ascii="Times New Roman" w:hAnsi="Times New Roman"/>
          <w:b/>
          <w:i w:val="0"/>
          <w:sz w:val="22"/>
        </w:rPr>
        <w:t>3.3  Results</w:t>
      </w:r>
    </w:p>
    <w:p>
      <w:pPr>
        <w:spacing w:before="80" w:after="40"/>
        <w:jc w:val="center"/>
      </w:pPr>
      <w:r>
        <w:rPr>
          <w:rFonts w:ascii="Times New Roman" w:hAnsi="Times New Roman"/>
          <w:b w:val="0"/>
          <w:i/>
          <w:sz w:val="20"/>
        </w:rPr>
        <w:t>Table 6.  Cascaded vs. Direct Fine-Tuning — Macro F1 Comparison</w:t>
      </w:r>
    </w:p>
    <w:tbl>
      <w:tblPr>
        <w:tblStyle w:val="TableGrid"/>
        <w:tblW w:type="auto" w:w="0"/>
        <w:jc w:val="center"/>
        <w:tblLook w:firstColumn="1" w:firstRow="1" w:lastColumn="0" w:lastRow="0" w:noHBand="0" w:noVBand="1" w:val="04A0"/>
      </w:tblPr>
      <w:tblGrid>
        <w:gridCol w:w="2210"/>
        <w:gridCol w:w="2210"/>
        <w:gridCol w:w="2210"/>
        <w:gridCol w:w="2210"/>
      </w:tblGrid>
      <w:tr>
        <w:tc>
          <w:tcPr>
            <w:tcW w:type="dxa" w:w="3118"/>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Method</w:t>
            </w:r>
          </w:p>
        </w:tc>
        <w:tc>
          <w:tcPr>
            <w:tcW w:type="dxa" w:w="1701"/>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Dataset</w:t>
            </w:r>
          </w:p>
        </w:tc>
        <w:tc>
          <w:tcPr>
            <w:tcW w:type="dxa" w:w="1417"/>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Macro F1</w:t>
            </w:r>
          </w:p>
        </w:tc>
        <w:tc>
          <w:tcPr>
            <w:tcW w:type="dxa" w:w="2154"/>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Change vs. Direct</w:t>
            </w:r>
          </w:p>
        </w:tc>
      </w:tr>
      <w:tr>
        <w:tc>
          <w:tcPr>
            <w:tcW w:type="dxa" w:w="3118"/>
            <w:shd w:val="clear" w:color="auto" w:fill="DCE6F1"/>
            <w:tcBorders>
              <w:top w:val="single" w:sz="4" w:space="0" w:color="BFBFBF"/>
              <w:left w:val="single" w:sz="4" w:space="0" w:color="BFBFBF"/>
              <w:bottom w:val="single" w:sz="4" w:space="0" w:color="BFBFBF"/>
              <w:right w:val="single" w:sz="4" w:space="0" w:color="BFBFBF"/>
            </w:tcBorders>
            <w:vAlign w:val="center"/>
          </w:tcPr>
          <w:p>
            <w:pPr>
              <w:jc w:val="left"/>
            </w:pPr>
            <w:r>
              <w:rPr>
                <w:rFonts w:ascii="Times New Roman" w:hAnsi="Times New Roman"/>
                <w:b w:val="0"/>
                <w:i w:val="0"/>
                <w:sz w:val="20"/>
              </w:rPr>
              <w:t>Direct fine-tuning</w:t>
            </w:r>
          </w:p>
        </w:tc>
        <w:tc>
          <w:tcPr>
            <w:tcW w:type="dxa" w:w="1701"/>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HateXPlain</w:t>
            </w:r>
          </w:p>
        </w:tc>
        <w:tc>
          <w:tcPr>
            <w:tcW w:type="dxa" w:w="1417"/>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0.731</w:t>
            </w:r>
          </w:p>
        </w:tc>
        <w:tc>
          <w:tcPr>
            <w:tcW w:type="dxa" w:w="2154"/>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w:t>
            </w:r>
          </w:p>
        </w:tc>
      </w:tr>
      <w:tr>
        <w:tc>
          <w:tcPr>
            <w:tcW w:type="dxa" w:w="3118"/>
            <w:shd w:val="clear" w:color="auto" w:fill="FFFFFF"/>
            <w:tcBorders>
              <w:top w:val="single" w:sz="4" w:space="0" w:color="BFBFBF"/>
              <w:left w:val="single" w:sz="4" w:space="0" w:color="BFBFBF"/>
              <w:bottom w:val="single" w:sz="4" w:space="0" w:color="BFBFBF"/>
              <w:right w:val="single" w:sz="4" w:space="0" w:color="BFBFBF"/>
            </w:tcBorders>
            <w:vAlign w:val="center"/>
          </w:tcPr>
          <w:p>
            <w:pPr>
              <w:jc w:val="left"/>
            </w:pPr>
            <w:r>
              <w:rPr>
                <w:rFonts w:ascii="Times New Roman" w:hAnsi="Times New Roman"/>
                <w:b w:val="0"/>
                <w:i w:val="0"/>
                <w:sz w:val="20"/>
              </w:rPr>
              <w:t>Cascaded + course data mix</w:t>
            </w:r>
          </w:p>
        </w:tc>
        <w:tc>
          <w:tcPr>
            <w:tcW w:type="dxa" w:w="1701"/>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HateXPlain</w:t>
            </w:r>
          </w:p>
        </w:tc>
        <w:tc>
          <w:tcPr>
            <w:tcW w:type="dxa" w:w="1417"/>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0.727</w:t>
            </w:r>
          </w:p>
        </w:tc>
        <w:tc>
          <w:tcPr>
            <w:tcW w:type="dxa" w:w="2154"/>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−0.004</w:t>
            </w:r>
          </w:p>
        </w:tc>
      </w:tr>
      <w:tr>
        <w:tc>
          <w:tcPr>
            <w:tcW w:type="dxa" w:w="3118"/>
            <w:shd w:val="clear" w:color="auto" w:fill="DCE6F1"/>
            <w:tcBorders>
              <w:top w:val="single" w:sz="4" w:space="0" w:color="BFBFBF"/>
              <w:left w:val="single" w:sz="4" w:space="0" w:color="BFBFBF"/>
              <w:bottom w:val="single" w:sz="4" w:space="0" w:color="BFBFBF"/>
              <w:right w:val="single" w:sz="4" w:space="0" w:color="BFBFBF"/>
            </w:tcBorders>
            <w:vAlign w:val="center"/>
          </w:tcPr>
          <w:p>
            <w:pPr>
              <w:jc w:val="left"/>
            </w:pPr>
            <w:r>
              <w:rPr>
                <w:rFonts w:ascii="Times New Roman" w:hAnsi="Times New Roman"/>
                <w:b w:val="0"/>
                <w:i w:val="0"/>
                <w:sz w:val="20"/>
              </w:rPr>
              <w:t>Direct fine-tuning</w:t>
            </w:r>
          </w:p>
        </w:tc>
        <w:tc>
          <w:tcPr>
            <w:tcW w:type="dxa" w:w="1701"/>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TweetEval</w:t>
            </w:r>
          </w:p>
        </w:tc>
        <w:tc>
          <w:tcPr>
            <w:tcW w:type="dxa" w:w="1417"/>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0.536</w:t>
            </w:r>
          </w:p>
        </w:tc>
        <w:tc>
          <w:tcPr>
            <w:tcW w:type="dxa" w:w="2154"/>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w:t>
            </w:r>
          </w:p>
        </w:tc>
      </w:tr>
      <w:tr>
        <w:tc>
          <w:tcPr>
            <w:tcW w:type="dxa" w:w="3118"/>
            <w:shd w:val="clear" w:color="auto" w:fill="FFFFFF"/>
            <w:tcBorders>
              <w:top w:val="single" w:sz="4" w:space="0" w:color="BFBFBF"/>
              <w:left w:val="single" w:sz="4" w:space="0" w:color="BFBFBF"/>
              <w:bottom w:val="single" w:sz="4" w:space="0" w:color="BFBFBF"/>
              <w:right w:val="single" w:sz="4" w:space="0" w:color="BFBFBF"/>
            </w:tcBorders>
            <w:vAlign w:val="center"/>
          </w:tcPr>
          <w:p>
            <w:pPr>
              <w:jc w:val="left"/>
            </w:pPr>
            <w:r>
              <w:rPr>
                <w:rFonts w:ascii="Times New Roman" w:hAnsi="Times New Roman"/>
                <w:b w:val="0"/>
                <w:i w:val="0"/>
                <w:sz w:val="20"/>
              </w:rPr>
              <w:t>Cascaded + course data mix</w:t>
            </w:r>
          </w:p>
        </w:tc>
        <w:tc>
          <w:tcPr>
            <w:tcW w:type="dxa" w:w="1701"/>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TweetEval</w:t>
            </w:r>
          </w:p>
        </w:tc>
        <w:tc>
          <w:tcPr>
            <w:tcW w:type="dxa" w:w="1417"/>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0.404</w:t>
            </w:r>
          </w:p>
        </w:tc>
        <w:tc>
          <w:tcPr>
            <w:tcW w:type="dxa" w:w="2154"/>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−0.132</w:t>
            </w:r>
          </w:p>
        </w:tc>
      </w:tr>
    </w:tbl>
    <w:p>
      <w:pPr>
        <w:spacing w:before="160" w:after="80"/>
      </w:pPr>
      <w:r>
        <w:rPr>
          <w:rFonts w:ascii="Times New Roman" w:hAnsi="Times New Roman"/>
          <w:b/>
          <w:i w:val="0"/>
          <w:sz w:val="22"/>
        </w:rPr>
        <w:t>3.4  Analysis and Conclusion</w:t>
      </w:r>
    </w:p>
    <w:p>
      <w:pPr>
        <w:spacing w:before="0" w:after="120" w:line="260" w:lineRule="exact"/>
      </w:pPr>
      <w:r>
        <w:rPr>
          <w:rFonts w:ascii="Times New Roman" w:hAnsi="Times New Roman"/>
          <w:b w:val="0"/>
          <w:i w:val="0"/>
          <w:sz w:val="22"/>
        </w:rPr>
        <w:t>The cascaded approach failed to improve performance and substantially degraded TweetEval Macro F1 from 0.536 to 0.404 (−13.2 points). Two principal failure mechanisms were identified:</w:t>
      </w:r>
    </w:p>
    <w:p>
      <w:pPr>
        <w:spacing w:before="0" w:after="120" w:line="260" w:lineRule="exact"/>
      </w:pPr>
      <w:r>
        <w:rPr>
          <w:rFonts w:ascii="Times New Roman" w:hAnsi="Times New Roman"/>
          <w:b/>
          <w:i w:val="0"/>
          <w:sz w:val="22"/>
        </w:rPr>
        <w:t xml:space="preserve">(1)  Error propagation. </w:t>
      </w:r>
      <w:r>
        <w:rPr>
          <w:rFonts w:ascii="Times New Roman" w:hAnsi="Times New Roman"/>
          <w:b w:val="0"/>
          <w:i w:val="0"/>
          <w:sz w:val="22"/>
        </w:rPr>
        <w:t>Misclassifications in Stage 1 cascade irreversibly into Stage 2; any Normal sample wrongly routed to Stage 2 cannot be recovered, compounding errors across stages.</w:t>
      </w:r>
    </w:p>
    <w:p>
      <w:pPr>
        <w:spacing w:before="0" w:after="120" w:line="260" w:lineRule="exact"/>
      </w:pPr>
      <w:r>
        <w:rPr>
          <w:rFonts w:ascii="Times New Roman" w:hAnsi="Times New Roman"/>
          <w:b/>
          <w:i w:val="0"/>
          <w:sz w:val="22"/>
        </w:rPr>
        <w:t xml:space="preserve">(2)  Domain mismatch from data mixing. </w:t>
      </w:r>
      <w:r>
        <w:rPr>
          <w:rFonts w:ascii="Times New Roman" w:hAnsi="Times New Roman"/>
          <w:b w:val="0"/>
          <w:i w:val="0"/>
          <w:sz w:val="22"/>
        </w:rPr>
        <w:t>Course-domain Normal text (structured academic descriptions) is linguistically distinct from Twitter Normal text. Mixing them confused Stage 1's decision boundary, causing many Normal course reviews to be incorrectly routed to Stage 2.</w:t>
      </w:r>
    </w:p>
    <w:p>
      <w:pPr>
        <w:spacing w:before="0" w:after="120" w:line="260" w:lineRule="exact"/>
      </w:pPr>
      <w:r>
        <w:rPr>
          <w:rFonts w:ascii="Times New Roman" w:hAnsi="Times New Roman"/>
          <w:b w:val="0"/>
          <w:i w:val="0"/>
          <w:sz w:val="22"/>
        </w:rPr>
        <w:t>These findings demonstrate that architectural complexity does not substitute for domain alignment. The cascaded approach was abandoned in favour of domain adaptation, which proved substantially more effective with far less design overhead.</w:t>
      </w:r>
    </w:p>
    <w:p>
      <w:pPr>
        <w:spacing w:before="280" w:after="80"/>
      </w:pPr>
      <w:r>
        <w:rPr>
          <w:rFonts w:ascii="Times New Roman" w:hAnsi="Times New Roman"/>
          <w:b/>
          <w:i w:val="0"/>
          <w:color w:val="1F497D"/>
          <w:sz w:val="26"/>
        </w:rPr>
        <w:t>4.  Summary and Key Findings</w:t>
      </w:r>
    </w:p>
    <w:p>
      <w:pPr>
        <w:spacing w:before="80" w:after="40"/>
        <w:jc w:val="center"/>
      </w:pPr>
      <w:r>
        <w:rPr>
          <w:rFonts w:ascii="Times New Roman" w:hAnsi="Times New Roman"/>
          <w:b w:val="0"/>
          <w:i/>
          <w:sz w:val="20"/>
        </w:rPr>
        <w:t>Table 7.  Overall BERT Model Progression — Course Domain Test Set (n = 286)</w:t>
      </w:r>
    </w:p>
    <w:tbl>
      <w:tblPr>
        <w:tblStyle w:val="TableGrid"/>
        <w:tblW w:type="auto" w:w="0"/>
        <w:jc w:val="center"/>
        <w:tblLook w:firstColumn="1" w:firstRow="1" w:lastColumn="0" w:lastRow="0" w:noHBand="0" w:noVBand="1" w:val="04A0"/>
      </w:tblPr>
      <w:tblGrid>
        <w:gridCol w:w="1474"/>
        <w:gridCol w:w="1474"/>
        <w:gridCol w:w="1474"/>
        <w:gridCol w:w="1474"/>
        <w:gridCol w:w="1474"/>
        <w:gridCol w:w="1474"/>
      </w:tblGrid>
      <w:tr>
        <w:tc>
          <w:tcPr>
            <w:tcW w:type="dxa" w:w="2835"/>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Model / Stage</w:t>
            </w:r>
          </w:p>
        </w:tc>
        <w:tc>
          <w:tcPr>
            <w:tcW w:type="dxa" w:w="1134"/>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Accuracy</w:t>
            </w:r>
          </w:p>
        </w:tc>
        <w:tc>
          <w:tcPr>
            <w:tcW w:type="dxa" w:w="1134"/>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Macro F1</w:t>
            </w:r>
          </w:p>
        </w:tc>
        <w:tc>
          <w:tcPr>
            <w:tcW w:type="dxa" w:w="1247"/>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F1 Normal</w:t>
            </w:r>
          </w:p>
        </w:tc>
        <w:tc>
          <w:tcPr>
            <w:tcW w:type="dxa" w:w="1587"/>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F1 Offensive</w:t>
            </w:r>
          </w:p>
        </w:tc>
        <w:tc>
          <w:tcPr>
            <w:tcW w:type="dxa" w:w="1134"/>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F1 Hate</w:t>
            </w:r>
          </w:p>
        </w:tc>
      </w:tr>
      <w:tr>
        <w:tc>
          <w:tcPr>
            <w:tcW w:type="dxa" w:w="2835"/>
            <w:shd w:val="clear" w:color="auto" w:fill="DCE6F1"/>
            <w:tcBorders>
              <w:top w:val="single" w:sz="4" w:space="0" w:color="BFBFBF"/>
              <w:left w:val="single" w:sz="4" w:space="0" w:color="BFBFBF"/>
              <w:bottom w:val="single" w:sz="4" w:space="0" w:color="BFBFBF"/>
              <w:right w:val="single" w:sz="4" w:space="0" w:color="BFBFBF"/>
            </w:tcBorders>
            <w:vAlign w:val="center"/>
          </w:tcPr>
          <w:p>
            <w:pPr>
              <w:jc w:val="left"/>
            </w:pPr>
            <w:r>
              <w:rPr>
                <w:rFonts w:ascii="Times New Roman" w:hAnsi="Times New Roman"/>
                <w:b w:val="0"/>
                <w:i w:val="0"/>
                <w:sz w:val="20"/>
              </w:rPr>
              <w:t>BERT-base-uncased (zero-shot)</w:t>
            </w:r>
          </w:p>
        </w:tc>
        <w:tc>
          <w:tcPr>
            <w:tcW w:type="dxa" w:w="1134"/>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~0.40</w:t>
            </w:r>
          </w:p>
        </w:tc>
        <w:tc>
          <w:tcPr>
            <w:tcW w:type="dxa" w:w="1134"/>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~0.37</w:t>
            </w:r>
          </w:p>
        </w:tc>
        <w:tc>
          <w:tcPr>
            <w:tcW w:type="dxa" w:w="1247"/>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w:t>
            </w:r>
          </w:p>
        </w:tc>
        <w:tc>
          <w:tcPr>
            <w:tcW w:type="dxa" w:w="1587"/>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w:t>
            </w:r>
          </w:p>
        </w:tc>
        <w:tc>
          <w:tcPr>
            <w:tcW w:type="dxa" w:w="1134"/>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w:t>
            </w:r>
          </w:p>
        </w:tc>
      </w:tr>
      <w:tr>
        <w:tc>
          <w:tcPr>
            <w:tcW w:type="dxa" w:w="2835"/>
            <w:shd w:val="clear" w:color="auto" w:fill="FFFFFF"/>
            <w:tcBorders>
              <w:top w:val="single" w:sz="4" w:space="0" w:color="BFBFBF"/>
              <w:left w:val="single" w:sz="4" w:space="0" w:color="BFBFBF"/>
              <w:bottom w:val="single" w:sz="4" w:space="0" w:color="BFBFBF"/>
              <w:right w:val="single" w:sz="4" w:space="0" w:color="BFBFBF"/>
            </w:tcBorders>
            <w:vAlign w:val="center"/>
          </w:tcPr>
          <w:p>
            <w:pPr>
              <w:jc w:val="left"/>
            </w:pPr>
            <w:r>
              <w:rPr>
                <w:rFonts w:ascii="Times New Roman" w:hAnsi="Times New Roman"/>
                <w:b w:val="0"/>
                <w:i w:val="0"/>
                <w:sz w:val="20"/>
              </w:rPr>
              <w:t>BERT-HateXplain (fine-tuned)</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0.535</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0.295</w:t>
            </w:r>
          </w:p>
        </w:tc>
        <w:tc>
          <w:tcPr>
            <w:tcW w:type="dxa" w:w="1247"/>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0.714</w:t>
            </w:r>
          </w:p>
        </w:tc>
        <w:tc>
          <w:tcPr>
            <w:tcW w:type="dxa" w:w="1587"/>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0.172</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0.000</w:t>
            </w:r>
          </w:p>
        </w:tc>
      </w:tr>
      <w:tr>
        <w:tc>
          <w:tcPr>
            <w:tcW w:type="dxa" w:w="2835"/>
            <w:shd w:val="clear" w:color="auto" w:fill="DCE6F1"/>
            <w:tcBorders>
              <w:top w:val="single" w:sz="4" w:space="0" w:color="BFBFBF"/>
              <w:left w:val="single" w:sz="4" w:space="0" w:color="BFBFBF"/>
              <w:bottom w:val="single" w:sz="4" w:space="0" w:color="BFBFBF"/>
              <w:right w:val="single" w:sz="4" w:space="0" w:color="BFBFBF"/>
            </w:tcBorders>
            <w:vAlign w:val="center"/>
          </w:tcPr>
          <w:p>
            <w:pPr>
              <w:jc w:val="left"/>
            </w:pPr>
            <w:r>
              <w:rPr>
                <w:rFonts w:ascii="Times New Roman" w:hAnsi="Times New Roman"/>
                <w:b w:val="0"/>
                <w:i w:val="0"/>
                <w:sz w:val="20"/>
              </w:rPr>
              <w:t>BERT-TweetEval  (fine-tuned)</w:t>
            </w:r>
          </w:p>
        </w:tc>
        <w:tc>
          <w:tcPr>
            <w:tcW w:type="dxa" w:w="1134"/>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0.514</w:t>
            </w:r>
          </w:p>
        </w:tc>
        <w:tc>
          <w:tcPr>
            <w:tcW w:type="dxa" w:w="1134"/>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0.252</w:t>
            </w:r>
          </w:p>
        </w:tc>
        <w:tc>
          <w:tcPr>
            <w:tcW w:type="dxa" w:w="1247"/>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0.714</w:t>
            </w:r>
          </w:p>
        </w:tc>
        <w:tc>
          <w:tcPr>
            <w:tcW w:type="dxa" w:w="1587"/>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0.043</w:t>
            </w:r>
          </w:p>
        </w:tc>
        <w:tc>
          <w:tcPr>
            <w:tcW w:type="dxa" w:w="1134"/>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0.000</w:t>
            </w:r>
          </w:p>
        </w:tc>
      </w:tr>
      <w:tr>
        <w:tc>
          <w:tcPr>
            <w:tcW w:type="dxa" w:w="2835"/>
            <w:shd w:val="clear" w:color="auto" w:fill="FFFFFF"/>
            <w:tcBorders>
              <w:top w:val="single" w:sz="4" w:space="0" w:color="BFBFBF"/>
              <w:left w:val="single" w:sz="4" w:space="0" w:color="BFBFBF"/>
              <w:bottom w:val="single" w:sz="4" w:space="0" w:color="BFBFBF"/>
              <w:right w:val="single" w:sz="4" w:space="0" w:color="BFBFBF"/>
            </w:tcBorders>
            <w:vAlign w:val="center"/>
          </w:tcPr>
          <w:p>
            <w:pPr>
              <w:jc w:val="left"/>
            </w:pPr>
            <w:r>
              <w:rPr>
                <w:rFonts w:ascii="Times New Roman" w:hAnsi="Times New Roman"/>
                <w:b w:val="0"/>
                <w:i w:val="0"/>
                <w:sz w:val="20"/>
              </w:rPr>
              <w:t>BERT-HateXplain + Cascaded†</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0.727*</w:t>
            </w:r>
          </w:p>
        </w:tc>
        <w:tc>
          <w:tcPr>
            <w:tcW w:type="dxa" w:w="1247"/>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w:t>
            </w:r>
          </w:p>
        </w:tc>
        <w:tc>
          <w:tcPr>
            <w:tcW w:type="dxa" w:w="1587"/>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w:t>
            </w:r>
          </w:p>
        </w:tc>
        <w:tc>
          <w:tcPr>
            <w:tcW w:type="dxa" w:w="1134"/>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w:t>
            </w:r>
          </w:p>
        </w:tc>
      </w:tr>
      <w:tr>
        <w:tc>
          <w:tcPr>
            <w:tcW w:type="dxa" w:w="2835"/>
            <w:shd w:val="clear" w:color="auto" w:fill="DCE6F1"/>
            <w:tcBorders>
              <w:top w:val="single" w:sz="4" w:space="0" w:color="BFBFBF"/>
              <w:left w:val="single" w:sz="4" w:space="0" w:color="BFBFBF"/>
              <w:bottom w:val="single" w:sz="4" w:space="0" w:color="BFBFBF"/>
              <w:right w:val="single" w:sz="4" w:space="0" w:color="BFBFBF"/>
            </w:tcBorders>
            <w:vAlign w:val="center"/>
          </w:tcPr>
          <w:p>
            <w:pPr>
              <w:jc w:val="left"/>
            </w:pPr>
            <w:r>
              <w:rPr>
                <w:rFonts w:ascii="Times New Roman" w:hAnsi="Times New Roman"/>
                <w:b w:val="0"/>
                <w:i w:val="0"/>
                <w:sz w:val="20"/>
              </w:rPr>
              <w:t>BERT-HateXplain + Domain Adapt</w:t>
            </w:r>
          </w:p>
        </w:tc>
        <w:tc>
          <w:tcPr>
            <w:tcW w:type="dxa" w:w="1134"/>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0.888</w:t>
            </w:r>
          </w:p>
        </w:tc>
        <w:tc>
          <w:tcPr>
            <w:tcW w:type="dxa" w:w="1134"/>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0.863</w:t>
            </w:r>
          </w:p>
        </w:tc>
        <w:tc>
          <w:tcPr>
            <w:tcW w:type="dxa" w:w="1247"/>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0.948</w:t>
            </w:r>
          </w:p>
        </w:tc>
        <w:tc>
          <w:tcPr>
            <w:tcW w:type="dxa" w:w="1587"/>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0.765</w:t>
            </w:r>
          </w:p>
        </w:tc>
        <w:tc>
          <w:tcPr>
            <w:tcW w:type="dxa" w:w="1134"/>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0.877</w:t>
            </w:r>
          </w:p>
        </w:tc>
      </w:tr>
    </w:tbl>
    <w:p>
      <w:pPr>
        <w:spacing w:before="40" w:after="120"/>
      </w:pPr>
      <w:r>
        <w:rPr>
          <w:rFonts w:ascii="Times New Roman" w:hAnsi="Times New Roman"/>
          <w:b w:val="0"/>
          <w:i/>
          <w:color w:val="606060"/>
          <w:sz w:val="18"/>
        </w:rPr>
        <w:t>† Cascaded result on original HateXPlain test set (not course domain). * Lower on course domain due to domain shift.</w:t>
      </w:r>
    </w:p>
    <w:p>
      <w:pPr>
        <w:spacing w:before="0" w:after="120" w:line="260" w:lineRule="exact"/>
      </w:pPr>
      <w:r>
        <w:rPr>
          <w:rFonts w:ascii="Times New Roman" w:hAnsi="Times New Roman"/>
          <w:b w:val="0"/>
          <w:i w:val="0"/>
          <w:sz w:val="22"/>
        </w:rPr>
        <w:t>The experimental progression from zero-shot (Macro F1 ≈ 0.37) through direct fine-tuning (0.295 on course domain) to domain adaptation (0.863 on course domain) demonstrates three key findings:</w:t>
      </w:r>
    </w:p>
    <w:p>
      <w:pPr>
        <w:pStyle w:val="ListBullet"/>
        <w:spacing w:after="40"/>
      </w:pPr>
      <w:r>
        <w:rPr>
          <w:rFonts w:ascii="Times New Roman" w:hAnsi="Times New Roman"/>
          <w:b w:val="0"/>
          <w:i w:val="0"/>
          <w:sz w:val="22"/>
        </w:rPr>
        <w:t>Domain shift is the primary bottleneck. Models trained on social-media hate speech generalise poorly to course-evaluation offensive language regardless of architecture.</w:t>
      </w:r>
    </w:p>
    <w:p>
      <w:pPr>
        <w:pStyle w:val="ListBullet"/>
        <w:spacing w:after="40"/>
      </w:pPr>
      <w:r>
        <w:rPr>
          <w:rFonts w:ascii="Times New Roman" w:hAnsi="Times New Roman"/>
          <w:b w:val="0"/>
          <w:i w:val="0"/>
          <w:sz w:val="22"/>
        </w:rPr>
        <w:t>Domain adaptation is highly sample-efficient. Only 251 course-domain training samples were sufficient to raise F1 Hate from 0.000 to 0.877.</w:t>
      </w:r>
    </w:p>
    <w:p>
      <w:pPr>
        <w:pStyle w:val="ListBullet"/>
        <w:spacing w:after="40"/>
      </w:pPr>
      <w:r>
        <w:rPr>
          <w:rFonts w:ascii="Times New Roman" w:hAnsi="Times New Roman"/>
          <w:b w:val="0"/>
          <w:i w:val="0"/>
          <w:sz w:val="22"/>
        </w:rPr>
        <w:t>Architectural complexity does not compensate for domain mismatch. The cascaded two-stage design introduced error propagation without improving cross-domain generalisation.</w:t>
      </w:r>
    </w:p>
    <w:p>
      <w:pPr>
        <w:spacing w:before="280" w:after="80"/>
      </w:pPr>
      <w:r>
        <w:rPr>
          <w:rFonts w:ascii="Times New Roman" w:hAnsi="Times New Roman"/>
          <w:b/>
          <w:i w:val="0"/>
          <w:color w:val="1F497D"/>
          <w:sz w:val="26"/>
        </w:rPr>
        <w:t>5.  Command Line Interface Testing  (5 Credits)</w:t>
      </w:r>
    </w:p>
    <w:p>
      <w:pPr>
        <w:spacing w:before="160" w:after="80"/>
      </w:pPr>
      <w:r>
        <w:rPr>
          <w:rFonts w:ascii="Times New Roman" w:hAnsi="Times New Roman"/>
          <w:b/>
          <w:i w:val="0"/>
          <w:sz w:val="22"/>
        </w:rPr>
        <w:t>5.1  Overview</w:t>
      </w:r>
    </w:p>
    <w:p>
      <w:pPr>
        <w:spacing w:before="0" w:after="120" w:line="260" w:lineRule="exact"/>
      </w:pPr>
      <w:r>
        <w:rPr>
          <w:rFonts w:ascii="Times New Roman" w:hAnsi="Times New Roman"/>
          <w:b w:val="0"/>
          <w:i w:val="0"/>
          <w:sz w:val="22"/>
        </w:rPr>
        <w:t>A command-line interface (CLI) tool, predict.py, is provided to allow interactive testing of the hate speech detection system. The tool accepts either a single text string or a plain-text file as input, runs inference through the selected model, and outputs a predicted label (Normal / Offensive / Hate) together with a confidence score for each input sample.</w:t>
      </w:r>
    </w:p>
    <w:p>
      <w:pPr>
        <w:spacing w:before="160" w:after="80"/>
      </w:pPr>
      <w:r>
        <w:rPr>
          <w:rFonts w:ascii="Times New Roman" w:hAnsi="Times New Roman"/>
          <w:b/>
          <w:i w:val="0"/>
          <w:sz w:val="22"/>
        </w:rPr>
        <w:t>5.2  Design</w:t>
      </w:r>
    </w:p>
    <w:p>
      <w:pPr>
        <w:spacing w:before="0" w:after="120" w:line="260" w:lineRule="exact"/>
      </w:pPr>
      <w:r>
        <w:rPr>
          <w:rFonts w:ascii="Times New Roman" w:hAnsi="Times New Roman"/>
          <w:b w:val="0"/>
          <w:i w:val="0"/>
          <w:sz w:val="22"/>
        </w:rPr>
        <w:t>The CLI is built with Python's argparse module and wraps the full inference pipeline in a lightweight, dependency-free script. Key design decisions:</w:t>
      </w:r>
    </w:p>
    <w:p>
      <w:pPr>
        <w:spacing w:before="0" w:after="120" w:line="260" w:lineRule="exact"/>
      </w:pPr>
      <w:r>
        <w:rPr>
          <w:rFonts w:ascii="Times New Roman" w:hAnsi="Times New Roman"/>
          <w:b/>
          <w:i w:val="0"/>
          <w:sz w:val="22"/>
        </w:rPr>
        <w:t xml:space="preserve">Default model. </w:t>
      </w:r>
      <w:r>
        <w:rPr>
          <w:rFonts w:ascii="Times New Roman" w:hAnsi="Times New Roman"/>
          <w:b w:val="0"/>
          <w:i w:val="0"/>
          <w:sz w:val="22"/>
        </w:rPr>
        <w:t>The tool automatically loads saved_model_roberta_hx_course — the best-performing model (Macro F1 = 0.936 on the course test set) — when no model is explicitly specified. Any saved model directory can be selected via the --model flag, enabling comparison across all trained checkpoints.</w:t>
      </w:r>
    </w:p>
    <w:p>
      <w:pPr>
        <w:spacing w:before="0" w:after="120" w:line="260" w:lineRule="exact"/>
      </w:pPr>
      <w:r>
        <w:rPr>
          <w:rFonts w:ascii="Times New Roman" w:hAnsi="Times New Roman"/>
          <w:b/>
          <w:i w:val="0"/>
          <w:sz w:val="22"/>
        </w:rPr>
        <w:t xml:space="preserve">Dual input modes. </w:t>
      </w:r>
      <w:r>
        <w:rPr>
          <w:rFonts w:ascii="Times New Roman" w:hAnsi="Times New Roman"/>
          <w:b w:val="0"/>
          <w:i w:val="0"/>
          <w:sz w:val="22"/>
        </w:rPr>
        <w:t>--text accepts a single quoted string for quick testing; --file reads a plain-text file where each line is treated as one input sample, enabling batch evaluation without code changes.</w:t>
      </w:r>
    </w:p>
    <w:p>
      <w:pPr>
        <w:spacing w:before="0" w:after="120" w:line="260" w:lineRule="exact"/>
      </w:pPr>
      <w:r>
        <w:rPr>
          <w:rFonts w:ascii="Times New Roman" w:hAnsi="Times New Roman"/>
          <w:b/>
          <w:i w:val="0"/>
          <w:sz w:val="22"/>
        </w:rPr>
        <w:t xml:space="preserve">Confidence output. </w:t>
      </w:r>
      <w:r>
        <w:rPr>
          <w:rFonts w:ascii="Times New Roman" w:hAnsi="Times New Roman"/>
          <w:b w:val="0"/>
          <w:i w:val="0"/>
          <w:sz w:val="22"/>
        </w:rPr>
        <w:t>The predicted class label and its softmax probability (confidence score) are printed for every input. The --verbose flag additionally prints the full per-class probability distribution (Normal / Offensive / Hate), making it easy to inspect borderline predictions.</w:t>
      </w:r>
    </w:p>
    <w:p>
      <w:pPr>
        <w:spacing w:before="0" w:after="120" w:line="260" w:lineRule="exact"/>
      </w:pPr>
      <w:r>
        <w:rPr>
          <w:rFonts w:ascii="Times New Roman" w:hAnsi="Times New Roman"/>
          <w:b/>
          <w:i w:val="0"/>
          <w:sz w:val="22"/>
        </w:rPr>
        <w:t xml:space="preserve">Device-agnostic. </w:t>
      </w:r>
      <w:r>
        <w:rPr>
          <w:rFonts w:ascii="Times New Roman" w:hAnsi="Times New Roman"/>
          <w:b w:val="0"/>
          <w:i w:val="0"/>
          <w:sz w:val="22"/>
        </w:rPr>
        <w:t>The tool automatically selects CUDA if available, falling back to CPU, so it runs identically on both the development GPU and a standard laptop.</w:t>
      </w:r>
    </w:p>
    <w:p>
      <w:pPr>
        <w:spacing w:before="160" w:after="80"/>
      </w:pPr>
      <w:r>
        <w:rPr>
          <w:rFonts w:ascii="Times New Roman" w:hAnsi="Times New Roman"/>
          <w:b/>
          <w:i w:val="0"/>
          <w:sz w:val="22"/>
        </w:rPr>
        <w:t>5.3  Usage</w:t>
      </w:r>
    </w:p>
    <w:p>
      <w:pPr>
        <w:spacing w:before="0" w:after="120" w:line="260" w:lineRule="exact"/>
      </w:pPr>
      <w:r>
        <w:rPr>
          <w:rFonts w:ascii="Times New Roman" w:hAnsi="Times New Roman"/>
          <w:b w:val="0"/>
          <w:i w:val="0"/>
          <w:sz w:val="22"/>
        </w:rPr>
        <w:t>Basic usage examples:</w:t>
      </w:r>
    </w:p>
    <w:p>
      <w:pPr>
        <w:spacing w:before="80" w:after="40"/>
        <w:jc w:val="center"/>
      </w:pPr>
      <w:r>
        <w:rPr>
          <w:rFonts w:ascii="Times New Roman" w:hAnsi="Times New Roman"/>
          <w:b w:val="0"/>
          <w:i/>
          <w:sz w:val="20"/>
        </w:rPr>
        <w:t>Table 8.  predict.py Command Examples</w:t>
      </w:r>
    </w:p>
    <w:tbl>
      <w:tblPr>
        <w:tblStyle w:val="TableGrid"/>
        <w:tblW w:type="auto" w:w="0"/>
        <w:jc w:val="center"/>
        <w:tblLook w:firstColumn="1" w:firstRow="1" w:lastColumn="0" w:lastRow="0" w:noHBand="0" w:noVBand="1" w:val="04A0"/>
      </w:tblPr>
      <w:tblGrid>
        <w:gridCol w:w="4421"/>
        <w:gridCol w:w="4421"/>
      </w:tblGrid>
      <w:tr>
        <w:tc>
          <w:tcPr>
            <w:tcW w:type="dxa" w:w="2268"/>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Mode</w:t>
            </w:r>
          </w:p>
        </w:tc>
        <w:tc>
          <w:tcPr>
            <w:tcW w:type="dxa" w:w="6123"/>
            <w:shd w:val="clear" w:color="auto" w:fill="1F497D"/>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i w:val="0"/>
                <w:color w:val="FFFFFF"/>
                <w:sz w:val="20"/>
              </w:rPr>
              <w:t>Command</w:t>
            </w:r>
          </w:p>
        </w:tc>
      </w:tr>
      <w:tr>
        <w:tc>
          <w:tcPr>
            <w:tcW w:type="dxa" w:w="2268"/>
            <w:shd w:val="clear" w:color="auto" w:fill="DCE6F1"/>
            <w:tcBorders>
              <w:top w:val="single" w:sz="4" w:space="0" w:color="BFBFBF"/>
              <w:left w:val="single" w:sz="4" w:space="0" w:color="BFBFBF"/>
              <w:bottom w:val="single" w:sz="4" w:space="0" w:color="BFBFBF"/>
              <w:right w:val="single" w:sz="4" w:space="0" w:color="BFBFBF"/>
            </w:tcBorders>
            <w:vAlign w:val="center"/>
          </w:tcPr>
          <w:p>
            <w:pPr>
              <w:jc w:val="left"/>
            </w:pPr>
            <w:r>
              <w:rPr>
                <w:rFonts w:ascii="Times New Roman" w:hAnsi="Times New Roman"/>
                <w:b w:val="0"/>
                <w:i w:val="0"/>
                <w:sz w:val="20"/>
              </w:rPr>
              <w:t>Single text input</w:t>
            </w:r>
          </w:p>
        </w:tc>
        <w:tc>
          <w:tcPr>
            <w:tcW w:type="dxa" w:w="6123"/>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python predict.py --text "This course is complete garbage."</w:t>
            </w:r>
          </w:p>
        </w:tc>
      </w:tr>
      <w:tr>
        <w:tc>
          <w:tcPr>
            <w:tcW w:type="dxa" w:w="2268"/>
            <w:shd w:val="clear" w:color="auto" w:fill="FFFFFF"/>
            <w:tcBorders>
              <w:top w:val="single" w:sz="4" w:space="0" w:color="BFBFBF"/>
              <w:left w:val="single" w:sz="4" w:space="0" w:color="BFBFBF"/>
              <w:bottom w:val="single" w:sz="4" w:space="0" w:color="BFBFBF"/>
              <w:right w:val="single" w:sz="4" w:space="0" w:color="BFBFBF"/>
            </w:tcBorders>
            <w:vAlign w:val="center"/>
          </w:tcPr>
          <w:p>
            <w:pPr>
              <w:jc w:val="left"/>
            </w:pPr>
            <w:r>
              <w:rPr>
                <w:rFonts w:ascii="Times New Roman" w:hAnsi="Times New Roman"/>
                <w:b w:val="0"/>
                <w:i w:val="0"/>
                <w:sz w:val="20"/>
              </w:rPr>
              <w:t>Batch file input</w:t>
            </w:r>
          </w:p>
        </w:tc>
        <w:tc>
          <w:tcPr>
            <w:tcW w:type="dxa" w:w="6123"/>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python predict.py --file reviews.txt</w:t>
            </w:r>
          </w:p>
        </w:tc>
      </w:tr>
      <w:tr>
        <w:tc>
          <w:tcPr>
            <w:tcW w:type="dxa" w:w="2268"/>
            <w:shd w:val="clear" w:color="auto" w:fill="DCE6F1"/>
            <w:tcBorders>
              <w:top w:val="single" w:sz="4" w:space="0" w:color="BFBFBF"/>
              <w:left w:val="single" w:sz="4" w:space="0" w:color="BFBFBF"/>
              <w:bottom w:val="single" w:sz="4" w:space="0" w:color="BFBFBF"/>
              <w:right w:val="single" w:sz="4" w:space="0" w:color="BFBFBF"/>
            </w:tcBorders>
            <w:vAlign w:val="center"/>
          </w:tcPr>
          <w:p>
            <w:pPr>
              <w:jc w:val="left"/>
            </w:pPr>
            <w:r>
              <w:rPr>
                <w:rFonts w:ascii="Times New Roman" w:hAnsi="Times New Roman"/>
                <w:b w:val="0"/>
                <w:i w:val="0"/>
                <w:sz w:val="20"/>
              </w:rPr>
              <w:t>Verbose (all class probs)</w:t>
            </w:r>
          </w:p>
        </w:tc>
        <w:tc>
          <w:tcPr>
            <w:tcW w:type="dxa" w:w="6123"/>
            <w:shd w:val="clear" w:color="auto" w:fill="DCE6F1"/>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python predict.py --text "The tutor was patient." --verbose</w:t>
            </w:r>
          </w:p>
        </w:tc>
      </w:tr>
      <w:tr>
        <w:tc>
          <w:tcPr>
            <w:tcW w:type="dxa" w:w="2268"/>
            <w:shd w:val="clear" w:color="auto" w:fill="FFFFFF"/>
            <w:tcBorders>
              <w:top w:val="single" w:sz="4" w:space="0" w:color="BFBFBF"/>
              <w:left w:val="single" w:sz="4" w:space="0" w:color="BFBFBF"/>
              <w:bottom w:val="single" w:sz="4" w:space="0" w:color="BFBFBF"/>
              <w:right w:val="single" w:sz="4" w:space="0" w:color="BFBFBF"/>
            </w:tcBorders>
            <w:vAlign w:val="center"/>
          </w:tcPr>
          <w:p>
            <w:pPr>
              <w:jc w:val="left"/>
            </w:pPr>
            <w:r>
              <w:rPr>
                <w:rFonts w:ascii="Times New Roman" w:hAnsi="Times New Roman"/>
                <w:b w:val="0"/>
                <w:i w:val="0"/>
                <w:sz w:val="20"/>
              </w:rPr>
              <w:t>Select a different model</w:t>
            </w:r>
          </w:p>
        </w:tc>
        <w:tc>
          <w:tcPr>
            <w:tcW w:type="dxa" w:w="6123"/>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rFonts w:ascii="Times New Roman" w:hAnsi="Times New Roman"/>
                <w:b w:val="0"/>
                <w:i w:val="0"/>
                <w:sz w:val="20"/>
              </w:rPr>
              <w:t>python predict.py --text "..." --model saved_model_bert_hx_course</w:t>
            </w:r>
          </w:p>
        </w:tc>
      </w:tr>
    </w:tbl>
    <w:p>
      <w:pPr>
        <w:spacing w:before="160" w:after="80"/>
      </w:pPr>
      <w:r>
        <w:rPr>
          <w:rFonts w:ascii="Times New Roman" w:hAnsi="Times New Roman"/>
          <w:b/>
          <w:i w:val="0"/>
          <w:sz w:val="22"/>
        </w:rPr>
        <w:t>5.4  Sample Output</w:t>
      </w:r>
    </w:p>
    <w:p>
      <w:pPr>
        <w:spacing w:before="0" w:after="120" w:line="260" w:lineRule="exact"/>
      </w:pPr>
      <w:r>
        <w:rPr>
          <w:rFonts w:ascii="Times New Roman" w:hAnsi="Times New Roman"/>
          <w:b w:val="0"/>
          <w:i w:val="0"/>
          <w:sz w:val="22"/>
        </w:rPr>
        <w:t>Example output for a single text input with --verbose:</w:t>
      </w:r>
    </w:p>
    <w:p>
      <w:pPr>
        <w:spacing w:before="0" w:after="0"/>
        <w:ind w:left="454"/>
        <w:shd w:val="clear" w:color="auto" w:fill="F2F2F2"/>
      </w:pPr>
      <w:r>
        <w:rPr>
          <w:rFonts w:ascii="Courier New" w:hAnsi="Courier New"/>
          <w:color w:val="1F1F1F"/>
          <w:sz w:val="18"/>
        </w:rPr>
        <w:t>Loading model from: saved_model_roberta_hx_course</w:t>
      </w:r>
    </w:p>
    <w:p>
      <w:pPr>
        <w:spacing w:before="0" w:after="0"/>
        <w:ind w:left="454"/>
        <w:shd w:val="clear" w:color="auto" w:fill="F2F2F2"/>
      </w:pPr>
      <w:r>
        <w:rPr>
          <w:rFonts w:ascii="Courier New" w:hAnsi="Courier New"/>
          <w:color w:val="1F1F1F"/>
          <w:sz w:val="18"/>
        </w:rPr>
        <w:t>Device: cuda</w:t>
      </w:r>
    </w:p>
    <w:p>
      <w:pPr>
        <w:spacing w:before="0" w:after="0"/>
        <w:ind w:left="454"/>
        <w:shd w:val="clear" w:color="auto" w:fill="F2F2F2"/>
      </w:pPr>
      <w:r>
        <w:rPr>
          <w:rFonts w:ascii="Courier New" w:hAnsi="Courier New"/>
          <w:color w:val="1F1F1F"/>
          <w:sz w:val="18"/>
        </w:rPr>
        <w:t xml:space="preserve"> </w:t>
      </w:r>
    </w:p>
    <w:p>
      <w:pPr>
        <w:spacing w:before="0" w:after="0"/>
        <w:ind w:left="454"/>
        <w:shd w:val="clear" w:color="auto" w:fill="F2F2F2"/>
      </w:pPr>
      <w:r>
        <w:rPr>
          <w:rFonts w:ascii="Courier New" w:hAnsi="Courier New"/>
          <w:color w:val="1F1F1F"/>
          <w:sz w:val="18"/>
        </w:rPr>
        <w:t>Text:       This lecturer is an aggressive bully who poisons every class.</w:t>
      </w:r>
    </w:p>
    <w:p>
      <w:pPr>
        <w:spacing w:before="0" w:after="0"/>
        <w:ind w:left="454"/>
        <w:shd w:val="clear" w:color="auto" w:fill="F2F2F2"/>
      </w:pPr>
      <w:r>
        <w:rPr>
          <w:rFonts w:ascii="Courier New" w:hAnsi="Courier New"/>
          <w:color w:val="1F1F1F"/>
          <w:sz w:val="18"/>
        </w:rPr>
        <w:t>Prediction: Hate  (confidence: 0.9821)</w:t>
      </w:r>
    </w:p>
    <w:p>
      <w:pPr>
        <w:spacing w:before="0" w:after="0"/>
        <w:ind w:left="454"/>
        <w:shd w:val="clear" w:color="auto" w:fill="F2F2F2"/>
      </w:pPr>
      <w:r>
        <w:rPr>
          <w:rFonts w:ascii="Courier New" w:hAnsi="Courier New"/>
          <w:color w:val="1F1F1F"/>
          <w:sz w:val="18"/>
        </w:rPr>
        <w:t xml:space="preserve">  Normal    : 0.0089</w:t>
      </w:r>
    </w:p>
    <w:p>
      <w:pPr>
        <w:spacing w:before="0" w:after="0"/>
        <w:ind w:left="454"/>
        <w:shd w:val="clear" w:color="auto" w:fill="F2F2F2"/>
      </w:pPr>
      <w:r>
        <w:rPr>
          <w:rFonts w:ascii="Courier New" w:hAnsi="Courier New"/>
          <w:color w:val="1F1F1F"/>
          <w:sz w:val="18"/>
        </w:rPr>
        <w:t xml:space="preserve">  Offensive : 0.0090</w:t>
      </w:r>
    </w:p>
    <w:p>
      <w:pPr>
        <w:spacing w:before="0" w:after="0"/>
        <w:ind w:left="454"/>
        <w:shd w:val="clear" w:color="auto" w:fill="F2F2F2"/>
      </w:pPr>
      <w:r>
        <w:rPr>
          <w:rFonts w:ascii="Courier New" w:hAnsi="Courier New"/>
          <w:color w:val="1F1F1F"/>
          <w:sz w:val="18"/>
        </w:rPr>
        <w:t xml:space="preserve">  Hate      : 0.9821</w:t>
      </w:r>
    </w:p>
    <w:p/>
    <w:p>
      <w:pPr>
        <w:spacing w:before="160" w:after="80"/>
      </w:pPr>
      <w:r>
        <w:rPr>
          <w:rFonts w:ascii="Times New Roman" w:hAnsi="Times New Roman"/>
          <w:b/>
          <w:i w:val="0"/>
          <w:sz w:val="22"/>
        </w:rPr>
        <w:t>5.5  Workflow</w:t>
      </w:r>
    </w:p>
    <w:p>
      <w:pPr>
        <w:spacing w:before="0" w:after="120" w:line="260" w:lineRule="exact"/>
      </w:pPr>
      <w:r>
        <w:rPr>
          <w:rFonts w:ascii="Times New Roman" w:hAnsi="Times New Roman"/>
          <w:b w:val="0"/>
          <w:i w:val="0"/>
          <w:sz w:val="22"/>
        </w:rPr>
        <w:t>The end-to-end inference pipeline executed by predict.py proceeds as follows:</w:t>
      </w:r>
    </w:p>
    <w:p>
      <w:pPr>
        <w:spacing w:before="0" w:after="80" w:line="260" w:lineRule="exact"/>
      </w:pPr>
      <w:r>
        <w:rPr>
          <w:rFonts w:ascii="Times New Roman" w:hAnsi="Times New Roman"/>
          <w:b/>
          <w:i w:val="0"/>
          <w:sz w:val="22"/>
        </w:rPr>
        <w:t xml:space="preserve">1.  Input parsing. </w:t>
      </w:r>
      <w:r>
        <w:rPr>
          <w:rFonts w:ascii="Times New Roman" w:hAnsi="Times New Roman"/>
          <w:b w:val="0"/>
          <w:i w:val="0"/>
          <w:sz w:val="22"/>
        </w:rPr>
        <w:t>argparse reads --text or --file. If a file path is provided, each non-empty line is loaded as an independent input sample.</w:t>
      </w:r>
    </w:p>
    <w:p>
      <w:pPr>
        <w:spacing w:before="0" w:after="80" w:line="260" w:lineRule="exact"/>
      </w:pPr>
      <w:r>
        <w:rPr>
          <w:rFonts w:ascii="Times New Roman" w:hAnsi="Times New Roman"/>
          <w:b/>
          <w:i w:val="0"/>
          <w:sz w:val="22"/>
        </w:rPr>
        <w:t xml:space="preserve">2.  Model loading. </w:t>
      </w:r>
      <w:r>
        <w:rPr>
          <w:rFonts w:ascii="Times New Roman" w:hAnsi="Times New Roman"/>
          <w:b w:val="0"/>
          <w:i w:val="0"/>
          <w:sz w:val="22"/>
        </w:rPr>
        <w:t>AutoTokenizer and AutoModelForSequenceClassification are instantiated from the specified model directory (HuggingFace format). The model is moved to GPU if available and set to eval() mode.</w:t>
      </w:r>
    </w:p>
    <w:p>
      <w:pPr>
        <w:spacing w:before="0" w:after="80" w:line="260" w:lineRule="exact"/>
      </w:pPr>
      <w:r>
        <w:rPr>
          <w:rFonts w:ascii="Times New Roman" w:hAnsi="Times New Roman"/>
          <w:b/>
          <w:i w:val="0"/>
          <w:sz w:val="22"/>
        </w:rPr>
        <w:t xml:space="preserve">3.  Tokenisation. </w:t>
      </w:r>
      <w:r>
        <w:rPr>
          <w:rFonts w:ascii="Times New Roman" w:hAnsi="Times New Roman"/>
          <w:b w:val="0"/>
          <w:i w:val="0"/>
          <w:sz w:val="22"/>
        </w:rPr>
        <w:t>Each input string is tokenised with padding to max_length=128 and truncation. The resulting input_ids and attention_mask tensors are transferred to the target device.</w:t>
      </w:r>
    </w:p>
    <w:p>
      <w:pPr>
        <w:spacing w:before="0" w:after="80" w:line="260" w:lineRule="exact"/>
      </w:pPr>
      <w:r>
        <w:rPr>
          <w:rFonts w:ascii="Times New Roman" w:hAnsi="Times New Roman"/>
          <w:b/>
          <w:i w:val="0"/>
          <w:sz w:val="22"/>
        </w:rPr>
        <w:t xml:space="preserve">4.  Inference. </w:t>
      </w:r>
      <w:r>
        <w:rPr>
          <w:rFonts w:ascii="Times New Roman" w:hAnsi="Times New Roman"/>
          <w:b w:val="0"/>
          <w:i w:val="0"/>
          <w:sz w:val="22"/>
        </w:rPr>
        <w:t>A forward pass is performed under torch.no_grad(). The output logits are converted to class probabilities via softmax.</w:t>
      </w:r>
    </w:p>
    <w:p>
      <w:pPr>
        <w:spacing w:before="0" w:after="80" w:line="260" w:lineRule="exact"/>
      </w:pPr>
      <w:r>
        <w:rPr>
          <w:rFonts w:ascii="Times New Roman" w:hAnsi="Times New Roman"/>
          <w:b/>
          <w:i w:val="0"/>
          <w:sz w:val="22"/>
        </w:rPr>
        <w:t xml:space="preserve">5.  Output. </w:t>
      </w:r>
      <w:r>
        <w:rPr>
          <w:rFonts w:ascii="Times New Roman" w:hAnsi="Times New Roman"/>
          <w:b w:val="0"/>
          <w:i w:val="0"/>
          <w:sz w:val="22"/>
        </w:rPr>
        <w:t>The argmax of the probability vector determines the predicted label. The corresponding probability is reported as the confidence score. With --verbose, all three class probabilities are displayed.</w:t>
      </w:r>
    </w:p>
    <w:sectPr w:rsidR="00FC693F" w:rsidRPr="0006063C"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