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30"/>
        </w:rPr>
        <w:t>新时代共同富裕目标下企业破产法的价值重构与制度完善</w:t>
      </w:r>
    </w:p>
    <w:p>
      <w:pPr>
        <w:ind w:firstLine="0"/>
        <w:jc w:val="center"/>
      </w:pPr>
      <w:r>
        <w:rPr>
          <w:rFonts w:ascii="黑体" w:hAnsi="黑体" w:eastAsia="黑体"/>
          <w:b/>
          <w:sz w:val="30"/>
        </w:rPr>
        <w:t>——以中小企业纾困为视角</w:t>
      </w:r>
    </w:p>
    <w:p/>
    <w:p>
      <w:pPr>
        <w:ind w:firstLine="420"/>
        <w:jc w:val="left"/>
      </w:pPr>
      <w:r>
        <w:rPr>
          <w:rFonts w:ascii="宋体" w:hAnsi="宋体" w:eastAsia="宋体"/>
          <w:b/>
          <w:sz w:val="21"/>
        </w:rPr>
        <w:t>内容提要：</w:t>
      </w:r>
      <w:r>
        <w:rPr>
          <w:rFonts w:ascii="宋体" w:hAnsi="宋体" w:eastAsia="宋体"/>
          <w:b w:val="0"/>
          <w:sz w:val="21"/>
        </w:rPr>
        <w:t xml:space="preserve"> 共同富裕是中国式现代化的本质要求，也是观察现代商事法制度功能的重要价值坐标。企业破产法作为规范市场主体风险出清与企业救治的基础性制度，长期以来主要围绕债权公平清偿、市场退出秩序和资源优化配置展开制度建构。在传统商法语境下，这种价值取向具有充分合理性，但在共同富裕目标愈发凸显的时代背景下，仅以清偿效率和退出效率解释破产法功能，已不足以回应中小企业广泛分布、就业承载突出、区域外溢效应明显的现实。中小企业既是吸纳就业、激发创新、稳定供应链的重要主体，也是最容易受到融资收缩、需求波动和经营风险冲击的市场群体。一旦中小企业因制度救助不足而大规模退出，受损的将不仅是个体债权人利益，还包括劳动者生计、地方经济活力和共同富裕所要求的发展机会公平。基于此，企业破产法有必要在坚持市场化、法治化基础上完成价值重构：从单一清偿本位走向多元利益衡量，从被动退出机制走向救治与退出并重，从单纯效率导向走向效率与公平协同。本文以中小企业纾困为切入点，系统分析共同富裕目标对企业破产法提出的新要求，梳理我国现行制度在程序适配、融资支持、劳动者保护和配套协同方面的现实短板，并结合美国小企业重整制度和联合国国际贸易法委员会关于微型和小型企业简化破产程序的立法建议，提出构建中小企业差异化程序、完善预重整与自行管理规则、强化弱势主体保护、推进府院联动与信用修复等完善路径，以期推动企业破产法更好兼顾市场秩序、企业再生与社会公平目标。①②③</w:t>
      </w:r>
    </w:p>
    <w:p/>
    <w:p>
      <w:pPr>
        <w:ind w:firstLine="420"/>
        <w:jc w:val="left"/>
      </w:pPr>
      <w:r>
        <w:rPr>
          <w:rFonts w:ascii="宋体" w:hAnsi="宋体" w:eastAsia="宋体"/>
          <w:b/>
          <w:sz w:val="21"/>
        </w:rPr>
        <w:t>关键词：</w:t>
      </w:r>
      <w:r>
        <w:rPr>
          <w:rFonts w:ascii="宋体" w:hAnsi="宋体" w:eastAsia="宋体"/>
          <w:b w:val="0"/>
          <w:sz w:val="21"/>
        </w:rPr>
        <w:t xml:space="preserve"> 共同富裕；企业破产法；中小企业；破产重整；纾困；制度完善</w:t>
      </w:r>
    </w:p>
    <w:p/>
    <w:p>
      <w:pPr>
        <w:ind w:firstLine="420"/>
        <w:jc w:val="left"/>
      </w:pPr>
      <w:r>
        <w:rPr>
          <w:rFonts w:ascii="宋体" w:hAnsi="宋体" w:eastAsia="宋体"/>
          <w:b/>
          <w:sz w:val="21"/>
        </w:rPr>
        <w:t>Title:</w:t>
      </w:r>
      <w:r>
        <w:rPr>
          <w:rFonts w:ascii="宋体" w:hAnsi="宋体" w:eastAsia="宋体"/>
          <w:b w:val="0"/>
          <w:sz w:val="21"/>
        </w:rPr>
        <w:t xml:space="preserve"> Value Reconstruction and Institutional Improvement of Enterprise Bankruptcy Law under the Goal of Common Prosperity in the New Era: From the Perspective of Distress Relief for Small and Medium-Sized Enterprises</w:t>
      </w:r>
    </w:p>
    <w:p/>
    <w:p>
      <w:pPr>
        <w:ind w:firstLine="420"/>
        <w:jc w:val="left"/>
      </w:pPr>
      <w:r>
        <w:rPr>
          <w:rFonts w:ascii="宋体" w:hAnsi="宋体" w:eastAsia="宋体"/>
          <w:b/>
          <w:sz w:val="21"/>
        </w:rPr>
        <w:t>Abstract:</w:t>
      </w:r>
      <w:r>
        <w:rPr>
          <w:rFonts w:ascii="宋体" w:hAnsi="宋体" w:eastAsia="宋体"/>
          <w:b w:val="0"/>
          <w:sz w:val="21"/>
        </w:rPr>
        <w:t xml:space="preserve"> Common prosperity is an essential requirement of Chinese modernization and also an important value coordinate for examining the function of modern commercial law institutions. As a fundamental legal system regulating market exit and enterprise rescue, enterprise bankruptcy law has long centered on fair repayment of claims, orderly market exit and optimized allocation of resources. Under the goal of common prosperity, however, a single emphasis on liquidation efficiency and exit efficiency is no longer sufficient to respond to the realities of SMEs, including their wide distribution, strong employment capacity and significant spillover effects on local economies. Focusing on the relief of distressed SMEs, this paper analyzes the new demands that the goal of common prosperity places on enterprise bankruptcy law, examines the practical shortcomings of the current system in procedural adaptability, financing support, protection of workers and institutional coordination, and proposes corresponding reform paths such as differentiated procedures for SMEs, improved pre-reorganization and debtor-in-possession rules, stronger protection for vulnerable stakeholders, and regularized government-court coordination as well as credit rehabilitation mechanisms.</w:t>
      </w:r>
    </w:p>
    <w:p/>
    <w:p>
      <w:pPr>
        <w:ind w:firstLine="420"/>
        <w:jc w:val="left"/>
      </w:pPr>
      <w:r>
        <w:rPr>
          <w:rFonts w:ascii="宋体" w:hAnsi="宋体" w:eastAsia="宋体"/>
          <w:b/>
          <w:sz w:val="21"/>
        </w:rPr>
        <w:t>Key Words:</w:t>
      </w:r>
      <w:r>
        <w:rPr>
          <w:rFonts w:ascii="宋体" w:hAnsi="宋体" w:eastAsia="宋体"/>
          <w:b w:val="0"/>
          <w:sz w:val="21"/>
        </w:rPr>
        <w:t xml:space="preserve"> common prosperity; enterprise bankruptcy law; SMEs; bankruptcy reorganization; distress relief; institutional improvement</w:t>
      </w:r>
    </w:p>
    <w:p/>
    <w:p>
      <w:pPr>
        <w:ind w:firstLine="0"/>
        <w:jc w:val="left"/>
      </w:pPr>
      <w:r>
        <w:rPr>
          <w:rFonts w:ascii="宋体" w:hAnsi="宋体" w:eastAsia="宋体"/>
          <w:b/>
          <w:sz w:val="24"/>
        </w:rPr>
        <w:t>一、问题的提出</w:t>
      </w:r>
    </w:p>
    <w:p/>
    <w:p>
      <w:pPr>
        <w:ind w:firstLine="420"/>
        <w:jc w:val="left"/>
      </w:pPr>
      <w:r>
        <w:rPr>
          <w:rFonts w:ascii="宋体" w:hAnsi="宋体" w:eastAsia="宋体"/>
          <w:b w:val="0"/>
          <w:sz w:val="21"/>
        </w:rPr>
        <w:t>党的二十大报告明确指出，中国式现代化是全体人民共同富裕的现代化，强调要在高质量发展中促进社会公平正义，扎实推进共同富裕。①这一政治与法治命题意味着，现代市场制度不能仅以效率为唯一标尺，而应当在维护市场竞争活力的同时，更加注重发展机会平等、社会风险缓释和弱势主体保护。企业破产法虽然属于典型的商事法律制度，但其调整对象并不只是债权人与债务人之间的财产关系。企业一旦进入破产、重整或和解程序，往往会同步影响就业稳定、上下游交易秩序、地方税源、消费者权益乃至区域金融风险。因此，破产法的制度功能从来都具有超越个体清偿的公共面向。</w:t>
      </w:r>
    </w:p>
    <w:p/>
    <w:p>
      <w:pPr>
        <w:ind w:firstLine="420"/>
        <w:jc w:val="left"/>
      </w:pPr>
      <w:r>
        <w:rPr>
          <w:rFonts w:ascii="宋体" w:hAnsi="宋体" w:eastAsia="宋体"/>
          <w:b w:val="0"/>
          <w:sz w:val="21"/>
        </w:rPr>
        <w:t>中小企业在这一问题上尤其具有代表性。《中华人民共和国中小企业促进法》明确指出，中小企业对于扩大城乡就业、促进国民经济和社会发展具有重要作用，国家应当将中小企业发展作为长期发展战略，对中小企业尤其是小型微型企业实行积极扶持、加强引导、完善服务、依法规范、保障权益的方针。②从现实层面看，中小企业通常资本实力较弱、融资渠道较窄、抗风险能力有限，面对宏观经济波动、原材料价格变化或订单收缩时更容易陷入资金链危机。⑦同时，中小企业又往往深度嵌入地方产业链、服务链和就业网络，其困境与退出具有明显的连锁反应。一家中小企业破产，可能意味着几十名乃至数百名劳动者失业、供应商回款困难以及地方经济活力下降。</w:t>
      </w:r>
    </w:p>
    <w:p/>
    <w:p>
      <w:pPr>
        <w:ind w:firstLine="420"/>
        <w:jc w:val="left"/>
      </w:pPr>
      <w:r>
        <w:rPr>
          <w:rFonts w:ascii="宋体" w:hAnsi="宋体" w:eastAsia="宋体"/>
          <w:b w:val="0"/>
          <w:sz w:val="21"/>
        </w:rPr>
        <w:t>现行《企业破产法》已经建立了重整、和解、清算并行的制度框架，为困境企业分类处置提供了基础规范。③不过，现有制度整体上仍以一般企业尤其是规模较大、治理结构较完整的企业为预设对象。中小企业在进入程序时，常常遭遇申请材料准备困难、审计评估成本偏高、管理人费用负担较重、融资支持缺位、程序周期与企业现金流承受能力不匹配等问题。⑤⑦这导致部分本可救治的中小企业未能在适当时点进入重整或和解程序，而是在价值严重流失后被迫清算退出。由此可见，如果仍以“大企业模板”理解和运行企业破产法，其纾困功能便难以有效覆盖中小企业群体。</w:t>
      </w:r>
    </w:p>
    <w:p/>
    <w:p>
      <w:pPr>
        <w:ind w:firstLine="420"/>
        <w:jc w:val="left"/>
      </w:pPr>
      <w:r>
        <w:rPr>
          <w:rFonts w:ascii="宋体" w:hAnsi="宋体" w:eastAsia="宋体"/>
          <w:b w:val="0"/>
          <w:sz w:val="21"/>
        </w:rPr>
        <w:t>在共同富裕目标下，企业破产法的解释和完善应当更加重视其公共治理属性。一方面，破产法仍然要维护交易安全、保障债权公平清偿、防范道德风险；另一方面，它也应当为具有再生价值的困境企业提供低成本、可及性更强的制度出路，为劳动者与其他弱势主体提供更充分保障，并通过制度协同减轻破产对社会整体利益的冲击。⑤⑥因此，以中小企业纾困为视角审视企业破产法，不仅是技术层面的程序优化问题，更是共同富裕目标如何进入商事法制度逻辑的理论命题。</w:t>
      </w:r>
    </w:p>
    <w:p/>
    <w:p>
      <w:pPr>
        <w:ind w:firstLine="0"/>
        <w:jc w:val="left"/>
      </w:pPr>
      <w:r>
        <w:rPr>
          <w:rFonts w:ascii="宋体" w:hAnsi="宋体" w:eastAsia="宋体"/>
          <w:b/>
          <w:sz w:val="24"/>
        </w:rPr>
        <w:t>二、共同富裕目标下企业破产法价值重构的理论基础</w:t>
      </w:r>
    </w:p>
    <w:p/>
    <w:p>
      <w:pPr>
        <w:ind w:firstLine="420"/>
        <w:jc w:val="left"/>
      </w:pPr>
      <w:r>
        <w:rPr>
          <w:rFonts w:ascii="宋体" w:hAnsi="宋体" w:eastAsia="宋体"/>
          <w:b/>
          <w:sz w:val="21"/>
        </w:rPr>
        <w:t>（一）共同富裕对市场法治提出的新要求</w:t>
      </w:r>
    </w:p>
    <w:p/>
    <w:p>
      <w:pPr>
        <w:ind w:firstLine="420"/>
        <w:jc w:val="left"/>
      </w:pPr>
      <w:r>
        <w:rPr>
          <w:rFonts w:ascii="宋体" w:hAnsi="宋体" w:eastAsia="宋体"/>
          <w:b w:val="0"/>
          <w:sz w:val="21"/>
        </w:rPr>
        <w:t>共同富裕并不是对市场机制的否定，而是在高质量发展基础上实现机会更加公平、成果更加共享、风险分担更为合理的制度状态。①就法治意义而言，共同富裕要求法律制度既保障市场运行效率，又回应发展中产生的不平衡、不充分问题。在商法领域，这种要求表现为：应当更加重视中小市场主体的生存空间，更加关注劳动者与消费者等弱势群体利益，更加注重风险处置机制对社会整体稳定的影响。企业破产法作为市场退出与企业救治制度，恰恰处于效率与公平交汇之处。</w:t>
      </w:r>
    </w:p>
    <w:p/>
    <w:p>
      <w:pPr>
        <w:ind w:firstLine="420"/>
        <w:jc w:val="left"/>
      </w:pPr>
      <w:r>
        <w:rPr>
          <w:rFonts w:ascii="宋体" w:hAnsi="宋体" w:eastAsia="宋体"/>
          <w:b w:val="0"/>
          <w:sz w:val="21"/>
        </w:rPr>
        <w:t>传统上，企业破产法被视为“债务清理法”或“失败企业退出法”。这一定性强调破产制度通过集中受偿、冻结个别执行和统一管理债务人财产，防止无序争抢财产，保护债权人平等受偿秩序。③然而，在现代经济体系中，企业破产往往不是孤立的财产分配事件，而是涉及生产要素重组、雇佣关系调整、区域金融风险传导与社会预期管理的综合治理事件。因此，若仅以债权分配效率作为评价标准，容易低估企业持续经营价值、忽视就业和供应链稳定，进而使破产制度在共同富裕语境下显得功能失衡。</w:t>
      </w:r>
    </w:p>
    <w:p/>
    <w:p>
      <w:pPr>
        <w:ind w:firstLine="420"/>
        <w:jc w:val="left"/>
      </w:pPr>
      <w:r>
        <w:rPr>
          <w:rFonts w:ascii="宋体" w:hAnsi="宋体" w:eastAsia="宋体"/>
          <w:b/>
          <w:sz w:val="21"/>
        </w:rPr>
        <w:t>（二）企业破产法传统价值及其局限</w:t>
      </w:r>
    </w:p>
    <w:p/>
    <w:p>
      <w:pPr>
        <w:ind w:firstLine="420"/>
        <w:jc w:val="left"/>
      </w:pPr>
      <w:r>
        <w:rPr>
          <w:rFonts w:ascii="宋体" w:hAnsi="宋体" w:eastAsia="宋体"/>
          <w:b w:val="0"/>
          <w:sz w:val="21"/>
        </w:rPr>
        <w:t>现行《企业破产法》第1条将“公平清理债权债务，保护债权人和债务人的合法权益，维护社会主义市场经济秩序”作为立法宗旨，第2条确立了不能清偿到期债务且资不抵债或明显缺乏清偿能力时的适用前提。③从中可以提炼出我国破产法的传统价值体系：其一是债权公平清偿，其二是市场主体退出秩序，其三是资源优化配置。这些价值在防止逃债、维护交易信用、促进优胜劣汰等方面具有基础意义。</w:t>
      </w:r>
    </w:p>
    <w:p/>
    <w:p>
      <w:pPr>
        <w:ind w:firstLine="420"/>
        <w:jc w:val="left"/>
      </w:pPr>
      <w:r>
        <w:rPr>
          <w:rFonts w:ascii="宋体" w:hAnsi="宋体" w:eastAsia="宋体"/>
          <w:b w:val="0"/>
          <w:sz w:val="21"/>
        </w:rPr>
        <w:t>但问题在于，传统价值体系较难充分处理两类现实矛盾。第一类矛盾是“短期清偿利益”与“长期经营价值”之间的冲突。对于仍有市场前景的中小企业，若过早、过度强调财产变价和现时清偿，可能反而导致企业价值整体蒸发。第二类矛盾是“形式平等”与“实质公平”之间的冲突。破产程序内的平等清偿逻辑主要围绕债权法律性质展开，而劳动者、小额供应商、消费者等主体虽然在形式上被纳入程序，但在信息能力、组织能力和谈判能力上显著弱于金融机构与大额债权人，容易在程序竞争中处于不利位置。</w:t>
      </w:r>
    </w:p>
    <w:p/>
    <w:p>
      <w:pPr>
        <w:ind w:firstLine="420"/>
        <w:jc w:val="left"/>
      </w:pPr>
      <w:r>
        <w:rPr>
          <w:rFonts w:ascii="宋体" w:hAnsi="宋体" w:eastAsia="宋体"/>
          <w:b/>
          <w:sz w:val="21"/>
        </w:rPr>
        <w:t>（三）从单一清偿本位转向多元利益平衡</w:t>
      </w:r>
    </w:p>
    <w:p/>
    <w:p>
      <w:pPr>
        <w:ind w:firstLine="420"/>
        <w:jc w:val="left"/>
      </w:pPr>
      <w:r>
        <w:rPr>
          <w:rFonts w:ascii="宋体" w:hAnsi="宋体" w:eastAsia="宋体"/>
          <w:b w:val="0"/>
          <w:sz w:val="21"/>
        </w:rPr>
        <w:t>共同富裕目标下的破产法价值重构，核心在于承认破产法具有多重制度使命。第一，破产法仍然要坚持市场化和法治化，避免无原则“保壳”“输血”，防止低效主体长期占用资源。第二，破产法应对具有挽救价值的困境企业提供制度性再生机会，特别是为程序承受能力有限的中小企业提供更匹配的救助路径。第三，破产法应更明确地把劳动者权益、供应链稳定和地方经济安全纳入制度衡量框架。⑤⑥</w:t>
      </w:r>
    </w:p>
    <w:p/>
    <w:p>
      <w:pPr>
        <w:ind w:firstLine="420"/>
        <w:jc w:val="left"/>
      </w:pPr>
      <w:r>
        <w:rPr>
          <w:rFonts w:ascii="宋体" w:hAnsi="宋体" w:eastAsia="宋体"/>
          <w:b w:val="0"/>
          <w:sz w:val="21"/>
        </w:rPr>
        <w:t>最高人民法院在《全国法院破产审判工作会议纪要》中强调，要充分发挥破产审判在完善社会主义市场经济主体拯救和退出机制中的积极作用，通过分类处置实现资源重新配置和高质量发展。⑤随后，最高人民法院又在《关于为加快建设全国统一大市场提供司法服务和保障的意见》中提出，要对陷入财务困境但仍具有发展前景和挽救价值的企业积极适用破产重整、破产和解程序，并建立常态化“府院联动”机制。⑥这些政策表述表明，我国破产法治实践已经逐渐从“单纯退出”转向“分类施策、救治与退出并重”，而这正是共同富裕目标在破产法领域的规范投射。</w:t>
      </w:r>
    </w:p>
    <w:p/>
    <w:p>
      <w:pPr>
        <w:ind w:firstLine="420"/>
        <w:jc w:val="left"/>
      </w:pPr>
      <w:r>
        <w:rPr>
          <w:rFonts w:ascii="宋体" w:hAnsi="宋体" w:eastAsia="宋体"/>
          <w:b/>
          <w:sz w:val="21"/>
        </w:rPr>
        <w:t>（四）中小企业纾困是价值重构的关键切口</w:t>
      </w:r>
    </w:p>
    <w:p/>
    <w:p>
      <w:pPr>
        <w:ind w:firstLine="420"/>
        <w:jc w:val="left"/>
      </w:pPr>
      <w:r>
        <w:rPr>
          <w:rFonts w:ascii="宋体" w:hAnsi="宋体" w:eastAsia="宋体"/>
          <w:b w:val="0"/>
          <w:sz w:val="21"/>
        </w:rPr>
        <w:t>中小企业处于市场体系的毛细血管位置，数量众多、分布广泛、吸纳就业能力强，同时又最容易受到风险冲击。中小企业的法治保护并不意味着对所有企业一概维持，而是要通过制度设计帮助“可救企业”进入救治轨道、帮助“不可救企业”有序退出，从而把风险消化在更早阶段、把社会成本控制在更低水平。正因如此，中小企业纾困成为共同富裕目标下企业破产法价值重构最具操作性的切口：它既能够检验破产法是否真正兼顾效率与公平，也能够反向推动程序设计、利益平衡机制和配套制度的全面完善。</w:t>
      </w:r>
    </w:p>
    <w:p/>
    <w:p>
      <w:pPr>
        <w:ind w:firstLine="0"/>
        <w:jc w:val="left"/>
      </w:pPr>
      <w:r>
        <w:rPr>
          <w:rFonts w:ascii="宋体" w:hAnsi="宋体" w:eastAsia="宋体"/>
          <w:b/>
          <w:sz w:val="24"/>
        </w:rPr>
        <w:t>三、我国现行制度在中小企业纾困中的运行困境</w:t>
      </w:r>
    </w:p>
    <w:p/>
    <w:p>
      <w:pPr>
        <w:ind w:firstLine="420"/>
        <w:jc w:val="left"/>
      </w:pPr>
      <w:r>
        <w:rPr>
          <w:rFonts w:ascii="宋体" w:hAnsi="宋体" w:eastAsia="宋体"/>
          <w:b/>
          <w:sz w:val="21"/>
        </w:rPr>
        <w:t>（一）程序启动难与程序成本高并存</w:t>
      </w:r>
    </w:p>
    <w:p/>
    <w:p>
      <w:pPr>
        <w:ind w:firstLine="420"/>
        <w:jc w:val="left"/>
      </w:pPr>
      <w:r>
        <w:rPr>
          <w:rFonts w:ascii="宋体" w:hAnsi="宋体" w:eastAsia="宋体"/>
          <w:b w:val="0"/>
          <w:sz w:val="21"/>
        </w:rPr>
        <w:t>从规范结构看，债务人或债权人均可依照《企业破产法》第7条提出重整、和解或破产清算申请；在重整程序中，债务人或者债权人还可以依照第70条直接申请重整。④但是，规范上的“可以申请”并不等同于现实中的“能够进入”。中小企业在破产申请阶段经常面临财务资料残缺、会计账册不完备、债权债务清单难以快速整理等问题。同时，程序所需的审计、评估、公告、管理人报酬等费用，对已经现金流断裂的中小企业而言往往构成明显负担。⑦</w:t>
      </w:r>
    </w:p>
    <w:p/>
    <w:p>
      <w:pPr>
        <w:ind w:firstLine="420"/>
        <w:jc w:val="left"/>
      </w:pPr>
      <w:r>
        <w:rPr>
          <w:rFonts w:ascii="宋体" w:hAnsi="宋体" w:eastAsia="宋体"/>
          <w:b w:val="0"/>
          <w:sz w:val="21"/>
        </w:rPr>
        <w:t>更值得注意的是，中小企业的困境往往呈现“轻资产、快恶化”的特点。大型企业即使经营承压，仍可能凭借品牌、资产、融资能力维持较长时间；而中小企业一旦订单减少或回款延迟，就可能在短时间内丧失继续经营能力。若破产程序无法做到低门槛、快反应、早介入，就会错失最佳拯救窗口。这也是为什么许多中小企业虽然理论上符合重整或和解条件，但现实中更容易在价值耗尽之后进入清算。⑦</w:t>
      </w:r>
    </w:p>
    <w:p/>
    <w:p>
      <w:pPr>
        <w:ind w:firstLine="420"/>
        <w:jc w:val="left"/>
      </w:pPr>
      <w:r>
        <w:rPr>
          <w:rFonts w:ascii="宋体" w:hAnsi="宋体" w:eastAsia="宋体"/>
          <w:b/>
          <w:sz w:val="21"/>
        </w:rPr>
        <w:t>（二）重整规则与中小企业组织特性不完全匹配</w:t>
      </w:r>
    </w:p>
    <w:p/>
    <w:p>
      <w:pPr>
        <w:ind w:firstLine="420"/>
        <w:jc w:val="left"/>
      </w:pPr>
      <w:r>
        <w:rPr>
          <w:rFonts w:ascii="宋体" w:hAnsi="宋体" w:eastAsia="宋体"/>
          <w:b w:val="0"/>
          <w:sz w:val="21"/>
        </w:rPr>
        <w:t>现行《企业破产法》已经允许债务人在重整期间经申请、经法院批准后，在管理人监督下自行管理财产和营业事务。④这一安排本应有利于保持企业经营连续性，但在中小企业场景中，规则运行仍面临两个难点。其一，中小企业所有权、控制权和经营权高度重合，企业价值往往紧密依附于创始人、核心管理者或特定技术团队。若程序规则过于强调外部接管，企业的经营价值和客户关系可能迅速流失。其二，中小企业缺乏足够的专业资源来完成复杂重整方案设计，在没有专门程序简化与专业支持的情况下，自行管理往往沦为纸面规则。</w:t>
      </w:r>
    </w:p>
    <w:p/>
    <w:p>
      <w:pPr>
        <w:ind w:firstLine="420"/>
        <w:jc w:val="left"/>
      </w:pPr>
      <w:r>
        <w:rPr>
          <w:rFonts w:ascii="宋体" w:hAnsi="宋体" w:eastAsia="宋体"/>
          <w:b w:val="0"/>
          <w:sz w:val="21"/>
        </w:rPr>
        <w:t>吴倩倩指出，我国现行制度不区分企业规模而无差别适用统一重整程序，导致中小企业重整实践中存在适用主体局限、程序不适配、启动动力不足等问题。⑦金春也强调，中小微企业重整应当充分考虑出资人与经营者高度合一的特征，在出资人权益保留、债务人自行管理和计划批准规则上形成更具针对性的制度设计。⑧这说明，中小企业并非“大型企业的缩小版”，而应被视为需要专门制度回应的独特类型。</w:t>
      </w:r>
    </w:p>
    <w:p/>
    <w:p>
      <w:pPr>
        <w:ind w:firstLine="420"/>
        <w:jc w:val="left"/>
      </w:pPr>
      <w:r>
        <w:rPr>
          <w:rFonts w:ascii="宋体" w:hAnsi="宋体" w:eastAsia="宋体"/>
          <w:b/>
          <w:sz w:val="21"/>
        </w:rPr>
        <w:t>（三）融资支持不足削弱重整成功率</w:t>
      </w:r>
    </w:p>
    <w:p/>
    <w:p>
      <w:pPr>
        <w:ind w:firstLine="420"/>
        <w:jc w:val="left"/>
      </w:pPr>
      <w:r>
        <w:rPr>
          <w:rFonts w:ascii="宋体" w:hAnsi="宋体" w:eastAsia="宋体"/>
          <w:b w:val="0"/>
          <w:sz w:val="21"/>
        </w:rPr>
        <w:t>企业重整的关键并不只在于“法律上被允许重组”，更在于“经营上有条件继续营业”。对于中小企业而言，资金链续接是决定成败的核心变量。现行法虽通过共益债务等机制为继续经营提供一定支持，但在实践中，中小企业因资产规模小、信用弱、担保物不足，获得重整融资的难度明显高于大型企业。④⑥金融机构面对处于破产程序中的中小企业通常更为谨慎，而没有足够流动性支持的企业即便进入重整，也可能因无法维持采购、发薪和订单履行而迅速失去市场。</w:t>
      </w:r>
    </w:p>
    <w:p/>
    <w:p>
      <w:pPr>
        <w:ind w:firstLine="420"/>
        <w:jc w:val="left"/>
      </w:pPr>
      <w:r>
        <w:rPr>
          <w:rFonts w:ascii="宋体" w:hAnsi="宋体" w:eastAsia="宋体"/>
          <w:b w:val="0"/>
          <w:sz w:val="21"/>
        </w:rPr>
        <w:t>最高人民法院在统一大市场司法保障意见中明确提出，要推动完善破产费用专项基金、建立常态化府院联动机制，协调解决融资支持、税费处理等问题。⑥这表明，融资难并不是单纯的市场偏好问题，而是当前制度配套尚未成熟的表现。若缺乏政策性、阶段性、结构性的纾困融资工具，中小企业重整制度便很难真正发挥挽救功能。</w:t>
      </w:r>
    </w:p>
    <w:p/>
    <w:p>
      <w:pPr>
        <w:ind w:firstLine="420"/>
        <w:jc w:val="left"/>
      </w:pPr>
      <w:r>
        <w:rPr>
          <w:rFonts w:ascii="宋体" w:hAnsi="宋体" w:eastAsia="宋体"/>
          <w:b/>
          <w:sz w:val="21"/>
        </w:rPr>
        <w:t>（四）弱势主体保护仍有提升空间</w:t>
      </w:r>
    </w:p>
    <w:p/>
    <w:p>
      <w:pPr>
        <w:ind w:firstLine="420"/>
        <w:jc w:val="left"/>
      </w:pPr>
      <w:r>
        <w:rPr>
          <w:rFonts w:ascii="宋体" w:hAnsi="宋体" w:eastAsia="宋体"/>
          <w:b w:val="0"/>
          <w:sz w:val="21"/>
        </w:rPr>
        <w:t>《企业破产法》第6条要求人民法院依法保障企业职工合法权益，第113条也对职工工资、社会保险费用和法定补偿金等债权给予优先清偿安排。④然而，中小企业破产场景下的难点在于：企业资产本就有限，职工债权虽有顺位优势，仍可能面临“有优先权而无足够财产可供清偿”的局面。同时，中小企业的普通供应商、小额债权人和消费者通常信息不充分、组织化程度低，在重整谈判和债权人会议中话语权较弱。</w:t>
      </w:r>
    </w:p>
    <w:p/>
    <w:p>
      <w:pPr>
        <w:ind w:firstLine="420"/>
        <w:jc w:val="left"/>
      </w:pPr>
      <w:r>
        <w:rPr>
          <w:rFonts w:ascii="宋体" w:hAnsi="宋体" w:eastAsia="宋体"/>
          <w:b w:val="0"/>
          <w:sz w:val="21"/>
        </w:rPr>
        <w:t>共同富裕导向下的破产制度不能只满足于形式上的规则平等，而应考虑不同主体真实的程序能力差异。换言之，既要避免在“保企业”名义下压缩职工和小债权人的基本利益，也要防止少数大额债权人凭借专业优势和谈判优势主导方案安排，使程序结果偏离实质公平目标。⑤⑥</w:t>
      </w:r>
    </w:p>
    <w:p/>
    <w:p>
      <w:pPr>
        <w:ind w:firstLine="420"/>
        <w:jc w:val="left"/>
      </w:pPr>
      <w:r>
        <w:rPr>
          <w:rFonts w:ascii="宋体" w:hAnsi="宋体" w:eastAsia="宋体"/>
          <w:b/>
          <w:sz w:val="21"/>
        </w:rPr>
        <w:t>（五）配套协调机制尚未完全打通</w:t>
      </w:r>
    </w:p>
    <w:p/>
    <w:p>
      <w:pPr>
        <w:ind w:firstLine="420"/>
        <w:jc w:val="left"/>
      </w:pPr>
      <w:r>
        <w:rPr>
          <w:rFonts w:ascii="宋体" w:hAnsi="宋体" w:eastAsia="宋体"/>
          <w:b w:val="0"/>
          <w:sz w:val="21"/>
        </w:rPr>
        <w:t>破产程序绝非单一法院内部事务，它涉及市场监管变更、税务处理、社保衔接、土地房产处置、征信修复、职工分流安置等多个环节。最高人民法院在相关文件中反复强调要推进执行与破产衔接、推进府院联动常态化，正是因为破产制度功能能否发挥，很大程度上取决于这些配套环节是否顺畅。⑤⑥</w:t>
      </w:r>
    </w:p>
    <w:p/>
    <w:p>
      <w:pPr>
        <w:ind w:firstLine="420"/>
        <w:jc w:val="left"/>
      </w:pPr>
      <w:r>
        <w:rPr>
          <w:rFonts w:ascii="宋体" w:hAnsi="宋体" w:eastAsia="宋体"/>
          <w:b w:val="0"/>
          <w:sz w:val="21"/>
        </w:rPr>
        <w:t>就中小企业而言，配套机制的重要性尤为突出。大型企业往往拥有更强的政府沟通能力、专业中介资源和谈判能力，而中小企业则更依赖制度提供“标准化、可进入、低成本”的外部支持。若行政审批、税费安排、信用修复和继续经营许可等事项无法及时处理，企业就算在法律上获得重整机会，也难以在经营上真正实现再生。</w:t>
      </w:r>
    </w:p>
    <w:p/>
    <w:p>
      <w:pPr>
        <w:ind w:firstLine="0"/>
        <w:jc w:val="left"/>
      </w:pPr>
      <w:r>
        <w:rPr>
          <w:rFonts w:ascii="宋体" w:hAnsi="宋体" w:eastAsia="宋体"/>
          <w:b/>
          <w:sz w:val="24"/>
        </w:rPr>
        <w:t>四、域外经验及其可借鉴之处</w:t>
      </w:r>
    </w:p>
    <w:p/>
    <w:p>
      <w:pPr>
        <w:ind w:firstLine="420"/>
        <w:jc w:val="left"/>
      </w:pPr>
      <w:r>
        <w:rPr>
          <w:rFonts w:ascii="宋体" w:hAnsi="宋体" w:eastAsia="宋体"/>
          <w:b/>
          <w:sz w:val="21"/>
        </w:rPr>
        <w:t>（一）美国Subchapter V 的启示</w:t>
      </w:r>
    </w:p>
    <w:p/>
    <w:p>
      <w:pPr>
        <w:ind w:firstLine="420"/>
        <w:jc w:val="left"/>
      </w:pPr>
      <w:r>
        <w:rPr>
          <w:rFonts w:ascii="宋体" w:hAnsi="宋体" w:eastAsia="宋体"/>
          <w:b w:val="0"/>
          <w:sz w:val="21"/>
        </w:rPr>
        <w:t>美国于2019年通过《小企业重整法》，在《联邦破产法典》第11章中增设Subchapter V，专门处理小企业债务人的重整问题。⑨这一制度的重要创新在于：程序更简化、时间表更紧凑、协商机制更灵活，并由美国受托人项目在每一个案件中指定一名受托人协助推进重整。⑩与传统Chapter 11相比，Subchapter V更强调在较短期限内推动形成可执行方案，并降低小企业适用重整程序的制度成本。</w:t>
      </w:r>
    </w:p>
    <w:p/>
    <w:p>
      <w:pPr>
        <w:ind w:firstLine="420"/>
        <w:jc w:val="left"/>
      </w:pPr>
      <w:r>
        <w:rPr>
          <w:rFonts w:ascii="宋体" w:hAnsi="宋体" w:eastAsia="宋体"/>
          <w:b w:val="0"/>
          <w:sz w:val="21"/>
        </w:rPr>
        <w:t>这一制度至少提供三点启示。第一，小企业重整必须建立在专门程序之上，而不能假设一般重整规则自然适用。第二，程序期限和程序费用的控制对小企业至关重要，因为小企业最缺乏的正是等待复杂程序完成的时间和资金。第三，中立专业人员的介入不是为了替代经营者，而是为了帮助小企业与债权人形成更高效的协调机制。⑨⑩</w:t>
      </w:r>
    </w:p>
    <w:p/>
    <w:p>
      <w:pPr>
        <w:ind w:firstLine="420"/>
        <w:jc w:val="left"/>
      </w:pPr>
      <w:r>
        <w:rPr>
          <w:rFonts w:ascii="宋体" w:hAnsi="宋体" w:eastAsia="宋体"/>
          <w:b/>
          <w:sz w:val="21"/>
        </w:rPr>
        <w:t>（二）UNCITRAL关于微型和小型企业简化破产制度的建议</w:t>
      </w:r>
    </w:p>
    <w:p/>
    <w:p>
      <w:pPr>
        <w:ind w:firstLine="420"/>
        <w:jc w:val="left"/>
      </w:pPr>
      <w:r>
        <w:rPr>
          <w:rFonts w:ascii="宋体" w:hAnsi="宋体" w:eastAsia="宋体"/>
          <w:b w:val="0"/>
          <w:sz w:val="21"/>
        </w:rPr>
        <w:t>联合国国际贸易法委员会在《微型和小型企业破产法立法指南》中指出，微型和小型企业通常具有债务人与企业主债务交织、治理结构集中、法律和财务能力不足、债权人参与意愿不强以及对破产污名化高度敏感等特征，因此传统企业破产程序往往难以有效适用。⑨基于此，UNCITRAL建议各国建立快速、简单、灵活、低成本的简化程序，使微小企业易于进入，并在保护债权人、劳动者等利害关系人的同时，促进可行企业重整和不可行企业及时退出。⑨</w:t>
      </w:r>
    </w:p>
    <w:p/>
    <w:p>
      <w:pPr>
        <w:ind w:firstLine="420"/>
        <w:jc w:val="left"/>
      </w:pPr>
      <w:r>
        <w:rPr>
          <w:rFonts w:ascii="宋体" w:hAnsi="宋体" w:eastAsia="宋体"/>
          <w:b w:val="0"/>
          <w:sz w:val="21"/>
        </w:rPr>
        <w:t>这一指南对我国的现实意义在于，它从国际层面验证了一个基本判断：中小企业破产问题不是“大程序缩小版”的问题，而是具有独立逻辑的立法课题。我国若要提升中小企业纾困制度效能，应当正视中小企业在信息能力、财务规范性、经营依附性和风险承受力上的特殊性，围绕这些特征重构程序而非仅做局部修补。</w:t>
      </w:r>
    </w:p>
    <w:p/>
    <w:p>
      <w:pPr>
        <w:ind w:firstLine="420"/>
        <w:jc w:val="left"/>
      </w:pPr>
      <w:r>
        <w:rPr>
          <w:rFonts w:ascii="宋体" w:hAnsi="宋体" w:eastAsia="宋体"/>
          <w:b/>
          <w:sz w:val="21"/>
        </w:rPr>
        <w:t>（三）比较法经验的本土化边界</w:t>
      </w:r>
    </w:p>
    <w:p/>
    <w:p>
      <w:pPr>
        <w:ind w:firstLine="420"/>
        <w:jc w:val="left"/>
      </w:pPr>
      <w:r>
        <w:rPr>
          <w:rFonts w:ascii="宋体" w:hAnsi="宋体" w:eastAsia="宋体"/>
          <w:b w:val="0"/>
          <w:sz w:val="21"/>
        </w:rPr>
        <w:t>当然，比较法借鉴必须坚持本土化原则。美国小企业重整制度运行于成熟的市场信用环境和较为完备的破产专业服务体系之中，UNCITRAL指南则以跨法域的一般立法建议为基础。我国在借鉴时，应立足于中小企业数量庞大、地区发展不均衡、地方政府参与度较高、社会信用修复机制仍在完善中的现实条件。也就是说，域外经验的意义不在于简单移植条文，而在于为我国提供制度方向：简化程序、尽早介入、强化协调、降低成本、重视再生。</w:t>
      </w:r>
    </w:p>
    <w:p/>
    <w:p>
      <w:pPr>
        <w:ind w:firstLine="0"/>
        <w:jc w:val="left"/>
      </w:pPr>
      <w:r>
        <w:rPr>
          <w:rFonts w:ascii="宋体" w:hAnsi="宋体" w:eastAsia="宋体"/>
          <w:b/>
          <w:sz w:val="24"/>
        </w:rPr>
        <w:t>五、共同富裕导向下中小企业纾困的制度完善路径</w:t>
      </w:r>
    </w:p>
    <w:p/>
    <w:p>
      <w:pPr>
        <w:ind w:firstLine="420"/>
        <w:jc w:val="left"/>
      </w:pPr>
      <w:r>
        <w:rPr>
          <w:rFonts w:ascii="宋体" w:hAnsi="宋体" w:eastAsia="宋体"/>
          <w:b/>
          <w:sz w:val="21"/>
        </w:rPr>
        <w:t>（一）建立中小企业差异化与分层化程序体系</w:t>
      </w:r>
    </w:p>
    <w:p/>
    <w:p>
      <w:pPr>
        <w:ind w:firstLine="420"/>
        <w:jc w:val="left"/>
      </w:pPr>
      <w:r>
        <w:rPr>
          <w:rFonts w:ascii="宋体" w:hAnsi="宋体" w:eastAsia="宋体"/>
          <w:b w:val="0"/>
          <w:sz w:val="21"/>
        </w:rPr>
        <w:t>要提升破产法对中小企业的适配性，首要任务是建立差异化程序。可考虑围绕债务规模、债权人数、资产复杂程度、经营持续性和行业特征等因素，对中小企业案件设置快速审理机制、简化债权申报和信息披露要求，并通过标准化文书和数字化平台减轻程序负担。⑦⑨程序分层的核心不在于降低司法严谨性，而在于使程序强度与企业类型相匹配。</w:t>
      </w:r>
    </w:p>
    <w:p/>
    <w:p>
      <w:pPr>
        <w:ind w:firstLine="420"/>
        <w:jc w:val="left"/>
      </w:pPr>
      <w:r>
        <w:rPr>
          <w:rFonts w:ascii="宋体" w:hAnsi="宋体" w:eastAsia="宋体"/>
          <w:b w:val="0"/>
          <w:sz w:val="21"/>
        </w:rPr>
        <w:t>对于债权债务关系相对简单、持续经营价值较明确的中小企业，可探索“快速重整”或“简化和解”路径；对于已无继续经营可能但资产线索明确的案件，则应通过简易清算尽快完成市场退出。通过“可救则快救、应退则快退”的分层逻辑，既能够节约司法资源，也能减少企业价值在程序拖延中的无谓流失。</w:t>
      </w:r>
    </w:p>
    <w:p/>
    <w:p>
      <w:pPr>
        <w:ind w:firstLine="420"/>
        <w:jc w:val="left"/>
      </w:pPr>
      <w:r>
        <w:rPr>
          <w:rFonts w:ascii="宋体" w:hAnsi="宋体" w:eastAsia="宋体"/>
          <w:b/>
          <w:sz w:val="21"/>
        </w:rPr>
        <w:t>（二）完善预重整与债务人自行管理规则</w:t>
      </w:r>
    </w:p>
    <w:p/>
    <w:p>
      <w:pPr>
        <w:ind w:firstLine="420"/>
        <w:jc w:val="left"/>
      </w:pPr>
      <w:r>
        <w:rPr>
          <w:rFonts w:ascii="宋体" w:hAnsi="宋体" w:eastAsia="宋体"/>
          <w:b w:val="0"/>
          <w:sz w:val="21"/>
        </w:rPr>
        <w:t>中小企业纾困不能等到企业完全丧失造血能力后才启动。应进一步强化预重整制度的规范化，使债务人在正式进入重整前即可在法院适度指导下，与主要债权人、潜在投资人和管理人形成初步重组框架。这种“把救治窗口前移”的思路，更符合中小企业资金链脆弱、价值易流失的经营现实。⑥</w:t>
      </w:r>
    </w:p>
    <w:p/>
    <w:p>
      <w:pPr>
        <w:ind w:firstLine="420"/>
        <w:jc w:val="left"/>
      </w:pPr>
      <w:r>
        <w:rPr>
          <w:rFonts w:ascii="宋体" w:hAnsi="宋体" w:eastAsia="宋体"/>
          <w:b w:val="0"/>
          <w:sz w:val="21"/>
        </w:rPr>
        <w:t>同时，应当在风险可控前提下提高债务人自行管理规则的可操作性。对于经营者诚信、账目基本清晰、核心价值高度依赖原管理团队的中小企业，可把债务人自行管理作为更具优先性的选择，而由管理人或监督人承担必要、适度的监督职责。⑧⑨这样既有助于保留企业经营连续性，也能增强经营者在困境早期主动申请重整的动力。</w:t>
      </w:r>
    </w:p>
    <w:p/>
    <w:p>
      <w:pPr>
        <w:ind w:firstLine="420"/>
        <w:jc w:val="left"/>
      </w:pPr>
      <w:r>
        <w:rPr>
          <w:rFonts w:ascii="宋体" w:hAnsi="宋体" w:eastAsia="宋体"/>
          <w:b/>
          <w:sz w:val="21"/>
        </w:rPr>
        <w:t>（三）构建更有力度的融资与税务支持机制</w:t>
      </w:r>
    </w:p>
    <w:p/>
    <w:p>
      <w:pPr>
        <w:ind w:firstLine="420"/>
        <w:jc w:val="left"/>
      </w:pPr>
      <w:r>
        <w:rPr>
          <w:rFonts w:ascii="宋体" w:hAnsi="宋体" w:eastAsia="宋体"/>
          <w:b w:val="0"/>
          <w:sz w:val="21"/>
        </w:rPr>
        <w:t>中小企业重整成功率的提升，离不开程序外的金融和税费支持。未来可在现有共益债务规则基础上，进一步明确重整融资的优先性、担保安排和风险分配机制，增强金融机构或政策性资金进入重整程序的意愿。④⑥对于具备产业价值和就业稳定功能的中小企业，可探索通过地方纾困基金、政策性担保或专项支持计划，为其提供短期过桥资金和继续经营资金。</w:t>
      </w:r>
    </w:p>
    <w:p/>
    <w:p>
      <w:pPr>
        <w:ind w:firstLine="420"/>
        <w:jc w:val="left"/>
      </w:pPr>
      <w:r>
        <w:rPr>
          <w:rFonts w:ascii="宋体" w:hAnsi="宋体" w:eastAsia="宋体"/>
          <w:b w:val="0"/>
          <w:sz w:val="21"/>
        </w:rPr>
        <w:t>税务处理同样不可忽视。债务减免、资产处置、债转股等安排若叠加过高税费负担，往往会削弱重整效果。故应推动税务机关与法院、管理人形成更稳定的协调机制，对符合条件的重整案件给予更清晰、可预期的税务处理规则，从而减少重整中的制度摩擦。⑥</w:t>
      </w:r>
    </w:p>
    <w:p/>
    <w:p>
      <w:pPr>
        <w:ind w:firstLine="420"/>
        <w:jc w:val="left"/>
      </w:pPr>
      <w:r>
        <w:rPr>
          <w:rFonts w:ascii="宋体" w:hAnsi="宋体" w:eastAsia="宋体"/>
          <w:b/>
          <w:sz w:val="21"/>
        </w:rPr>
        <w:t>（四）强化劳动者和小额债权人的实质保护</w:t>
      </w:r>
    </w:p>
    <w:p/>
    <w:p>
      <w:pPr>
        <w:ind w:firstLine="420"/>
        <w:jc w:val="left"/>
      </w:pPr>
      <w:r>
        <w:rPr>
          <w:rFonts w:ascii="宋体" w:hAnsi="宋体" w:eastAsia="宋体"/>
          <w:b w:val="0"/>
          <w:sz w:val="21"/>
        </w:rPr>
        <w:t>共同富裕导向下的制度完善，应把劳动者和小额债权人置于更突出位置。除了维持现有清偿顺位安排外，还应进一步完善工资垫付、社保衔接、职工安置、再就业服务等机制，降低企业困境向个人和家庭风险外溢的强度。④⑥对于供应链中的小额债权人，也可在重整计划表决、信息通知和清偿安排中设置更具可及性的保护措施，避免其因程序能力不足而承担过高损失。</w:t>
      </w:r>
    </w:p>
    <w:p/>
    <w:p>
      <w:pPr>
        <w:ind w:firstLine="420"/>
        <w:jc w:val="left"/>
      </w:pPr>
      <w:r>
        <w:rPr>
          <w:rFonts w:ascii="宋体" w:hAnsi="宋体" w:eastAsia="宋体"/>
          <w:b w:val="0"/>
          <w:sz w:val="21"/>
        </w:rPr>
        <w:t>这里需要强调，强化弱势主体保护并不意味着放弃企业救治目标，而是要在设计重整方案时实现“企业再生”与“基本公平”的协同。若重整仅仅依靠压缩职工利益和小债权人利益来换取企业存续，其正当性和可持续性都会受到质疑。</w:t>
      </w:r>
    </w:p>
    <w:p/>
    <w:p>
      <w:pPr>
        <w:ind w:firstLine="420"/>
        <w:jc w:val="left"/>
      </w:pPr>
      <w:r>
        <w:rPr>
          <w:rFonts w:ascii="宋体" w:hAnsi="宋体" w:eastAsia="宋体"/>
          <w:b/>
          <w:sz w:val="21"/>
        </w:rPr>
        <w:t>（五）推进府院联动常态化并完善信用修复机制</w:t>
      </w:r>
    </w:p>
    <w:p/>
    <w:p>
      <w:pPr>
        <w:ind w:firstLine="420"/>
        <w:jc w:val="left"/>
      </w:pPr>
      <w:r>
        <w:rPr>
          <w:rFonts w:ascii="宋体" w:hAnsi="宋体" w:eastAsia="宋体"/>
          <w:b w:val="0"/>
          <w:sz w:val="21"/>
        </w:rPr>
        <w:t>最高人民法院已提出建立常态化“府院联动”协调机制。⑥对中小企业而言，这一机制的重点应放在行政协同的标准化和可预期性上，而不是个案式、临时性“协调救助”。地方政府、法院、税务、市场监管、人社、金融监管等部门应形成相对固定的信息共享和事项处理流程，使信用修复、变更注销、税费协调、社保接续和资产盘活能够在统一框架下推进。</w:t>
      </w:r>
    </w:p>
    <w:p/>
    <w:p>
      <w:pPr>
        <w:ind w:firstLine="420"/>
        <w:jc w:val="left"/>
      </w:pPr>
      <w:r>
        <w:rPr>
          <w:rFonts w:ascii="宋体" w:hAnsi="宋体" w:eastAsia="宋体"/>
          <w:b w:val="0"/>
          <w:sz w:val="21"/>
        </w:rPr>
        <w:t>此外，破产制度若要真正鼓励诚实经营者及时求助，还必须降低“失败污名化”。对依法配合程序、没有恶意逃债行为的企业主和企业，应当建立更明确的信用修复路径，让其在履行法定义务后有机会重新参与市场。⑥⑨这不仅有利于激发再创业活力，也符合共同富裕倡导的机会公平和鼓励勤劳创新精神。</w:t>
      </w:r>
    </w:p>
    <w:p/>
    <w:p>
      <w:pPr>
        <w:ind w:firstLine="420"/>
        <w:jc w:val="left"/>
      </w:pPr>
      <w:r>
        <w:rPr>
          <w:rFonts w:ascii="宋体" w:hAnsi="宋体" w:eastAsia="宋体"/>
          <w:b/>
          <w:sz w:val="21"/>
        </w:rPr>
        <w:t>（六）严格区分诚实失败与恶意逃债</w:t>
      </w:r>
    </w:p>
    <w:p/>
    <w:p>
      <w:pPr>
        <w:ind w:firstLine="420"/>
        <w:jc w:val="left"/>
      </w:pPr>
      <w:r>
        <w:rPr>
          <w:rFonts w:ascii="宋体" w:hAnsi="宋体" w:eastAsia="宋体"/>
          <w:b w:val="0"/>
          <w:sz w:val="21"/>
        </w:rPr>
        <w:t>需要指出的是，强调中小企业纾困绝不意味着纵容借破产逃债。共同富裕要求法治体现温度，但同样要求制度保持边界和公信力。对虚假诉讼、恶意转移财产、虚构债务、关联交易逃废债等行为，应通过破产撤销权、无效行为认定、民刑衔接追责等手段予以严厉规制。④⑥只有在“善意失败者可救、恶意逃债者必惩”的格局下，破产法的挽救功能才不会被滥用，债权人和社会公众对破产制度的信任也才能真正建立。</w:t>
      </w:r>
    </w:p>
    <w:p/>
    <w:p>
      <w:pPr>
        <w:ind w:firstLine="0"/>
        <w:jc w:val="left"/>
      </w:pPr>
      <w:r>
        <w:rPr>
          <w:rFonts w:ascii="宋体" w:hAnsi="宋体" w:eastAsia="宋体"/>
          <w:b/>
          <w:sz w:val="24"/>
        </w:rPr>
        <w:t>六、结语</w:t>
      </w:r>
    </w:p>
    <w:p/>
    <w:p>
      <w:pPr>
        <w:ind w:firstLine="420"/>
        <w:jc w:val="left"/>
      </w:pPr>
      <w:r>
        <w:rPr>
          <w:rFonts w:ascii="宋体" w:hAnsi="宋体" w:eastAsia="宋体"/>
          <w:b w:val="0"/>
          <w:sz w:val="21"/>
        </w:rPr>
        <w:t>企业破产法是市场经济的“退出法”，也是现代经济治理的“修复法”。在共同富裕目标下，对企业破产法的理解不能停留于债权清偿与市场出清层面，而应看到其在稳定就业、协调利益、修复市场关系和防范社会风险方面的复合功能。对于中小企业而言，破产法是否具备可及性、是否能够在困境早期介入、是否能够兼顾企业挽救与弱势主体保护，直接决定了该制度能否真正服务高质量发展与共同富裕大局。</w:t>
      </w:r>
    </w:p>
    <w:p/>
    <w:p>
      <w:pPr>
        <w:ind w:firstLine="420"/>
        <w:jc w:val="left"/>
      </w:pPr>
      <w:r>
        <w:rPr>
          <w:rFonts w:ascii="宋体" w:hAnsi="宋体" w:eastAsia="宋体"/>
          <w:b w:val="0"/>
          <w:sz w:val="21"/>
        </w:rPr>
        <w:t>从我国现行制度运行情况看，中小企业纾困仍受到程序不适配、融资支持不足、劳动者和小债权人保护不够充分以及配套机制不顺畅等多重因素制约。⑤⑥⑦要回应这些问题，就必须推动破产法价值从“单一清偿本位”走向“效率与公平并重、多元利益协同”的新结构，并在此基础上建立适应中小企业特点的差异化程序和综合支持机制。</w:t>
      </w:r>
    </w:p>
    <w:p/>
    <w:p>
      <w:pPr>
        <w:ind w:firstLine="420"/>
        <w:jc w:val="left"/>
      </w:pPr>
      <w:r>
        <w:rPr>
          <w:rFonts w:ascii="宋体" w:hAnsi="宋体" w:eastAsia="宋体"/>
          <w:b w:val="0"/>
          <w:sz w:val="21"/>
        </w:rPr>
        <w:t>因此，新时代共同富裕目标下的企业破产法改革，不应被理解为对市场原则的削弱，而应被理解为对现代市场法治功能的深化：既让无生存价值的市场主体及时退出，又让有再生可能的中小企业获得制度支持；既保障债权实现，又保护劳动者和其他弱势主体基本利益；既坚持法治刚性，又保留对诚实失败者的再生空间。只有完成这种价值重构与制度完善，企业破产法才能真正成为服务共同富裕、促进高质量发展的重要法治保障。</w:t>
      </w:r>
    </w:p>
    <w:p/>
    <w:p>
      <w:pPr>
        <w:ind w:firstLine="0"/>
        <w:jc w:val="left"/>
      </w:pPr>
      <w:r>
        <w:rPr>
          <w:rFonts w:ascii="宋体" w:hAnsi="宋体" w:eastAsia="宋体"/>
          <w:b/>
          <w:sz w:val="24"/>
        </w:rPr>
        <w:t>注释</w:t>
      </w:r>
    </w:p>
    <w:p/>
    <w:p>
      <w:pPr>
        <w:ind w:firstLine="420"/>
        <w:jc w:val="left"/>
      </w:pPr>
      <w:r>
        <w:rPr>
          <w:rFonts w:ascii="宋体" w:hAnsi="宋体" w:eastAsia="宋体"/>
          <w:b w:val="0"/>
          <w:sz w:val="21"/>
        </w:rPr>
        <w:t>① 习近平：《高举中国特色社会主义伟大旗帜 为全面建设社会主义现代化国家而团结奋斗——在中国共产党第二十次全国代表大会上的报告》，北京：人民出版社，2022年，第22-23页。</w:t>
      </w:r>
    </w:p>
    <w:p/>
    <w:p>
      <w:pPr>
        <w:ind w:firstLine="420"/>
        <w:jc w:val="left"/>
      </w:pPr>
      <w:r>
        <w:rPr>
          <w:rFonts w:ascii="宋体" w:hAnsi="宋体" w:eastAsia="宋体"/>
          <w:b w:val="0"/>
          <w:sz w:val="21"/>
        </w:rPr>
        <w:t>② 《中华人民共和国中小企业促进法》第1条、第3条。</w:t>
      </w:r>
    </w:p>
    <w:p/>
    <w:p>
      <w:pPr>
        <w:ind w:firstLine="420"/>
        <w:jc w:val="left"/>
      </w:pPr>
      <w:r>
        <w:rPr>
          <w:rFonts w:ascii="宋体" w:hAnsi="宋体" w:eastAsia="宋体"/>
          <w:b w:val="0"/>
          <w:sz w:val="21"/>
        </w:rPr>
        <w:t>③ 《中华人民共和国企业破产法》第1条、第2条。</w:t>
      </w:r>
    </w:p>
    <w:p/>
    <w:p>
      <w:pPr>
        <w:ind w:firstLine="420"/>
        <w:jc w:val="left"/>
      </w:pPr>
      <w:r>
        <w:rPr>
          <w:rFonts w:ascii="宋体" w:hAnsi="宋体" w:eastAsia="宋体"/>
          <w:b w:val="0"/>
          <w:sz w:val="21"/>
        </w:rPr>
        <w:t>④ 《中华人民共和国企业破产法》第7条、第70条、第73条、第113条、第135条。</w:t>
      </w:r>
    </w:p>
    <w:p/>
    <w:p>
      <w:pPr>
        <w:ind w:firstLine="420"/>
        <w:jc w:val="left"/>
      </w:pPr>
      <w:r>
        <w:rPr>
          <w:rFonts w:ascii="宋体" w:hAnsi="宋体" w:eastAsia="宋体"/>
          <w:b w:val="0"/>
          <w:sz w:val="21"/>
        </w:rPr>
        <w:t>⑤ 最高人民法院：《最高人民法院关于印发〈全国法院破产审判工作会议纪要〉的通知》，《中华人民共和国最高人民法院公报》2018年第3期。</w:t>
      </w:r>
    </w:p>
    <w:p/>
    <w:p>
      <w:pPr>
        <w:ind w:firstLine="420"/>
        <w:jc w:val="left"/>
      </w:pPr>
      <w:r>
        <w:rPr>
          <w:rFonts w:ascii="宋体" w:hAnsi="宋体" w:eastAsia="宋体"/>
          <w:b w:val="0"/>
          <w:sz w:val="21"/>
        </w:rPr>
        <w:t>⑥ 最高人民法院：《关于为加快建设全国统一大市场提供司法服务和保障的意见》，2022年7月14日。</w:t>
      </w:r>
    </w:p>
    <w:p/>
    <w:p>
      <w:pPr>
        <w:ind w:firstLine="420"/>
        <w:jc w:val="left"/>
      </w:pPr>
      <w:r>
        <w:rPr>
          <w:rFonts w:ascii="宋体" w:hAnsi="宋体" w:eastAsia="宋体"/>
          <w:b w:val="0"/>
          <w:sz w:val="21"/>
        </w:rPr>
        <w:t>⑦ 吴倩倩：《中小企业重整实践的困境与破解》，《法学》2023年第6期，第5477-5483页。</w:t>
      </w:r>
    </w:p>
    <w:p/>
    <w:p>
      <w:pPr>
        <w:ind w:firstLine="420"/>
        <w:jc w:val="left"/>
      </w:pPr>
      <w:r>
        <w:rPr>
          <w:rFonts w:ascii="宋体" w:hAnsi="宋体" w:eastAsia="宋体"/>
          <w:b w:val="0"/>
          <w:sz w:val="21"/>
        </w:rPr>
        <w:t>⑧ 金春：《中小微企业重整中出资人权益保留的理论证成与路径选择》，《清华法学》2023年第6期。</w:t>
      </w:r>
    </w:p>
    <w:p/>
    <w:p>
      <w:pPr>
        <w:ind w:firstLine="420"/>
        <w:jc w:val="left"/>
      </w:pPr>
      <w:r>
        <w:rPr>
          <w:rFonts w:ascii="宋体" w:hAnsi="宋体" w:eastAsia="宋体"/>
          <w:b w:val="0"/>
          <w:sz w:val="21"/>
        </w:rPr>
        <w:t>⑨ UNCITRAL, Legislative Guide on Insolvency Law for Micro- and Small Enterprises, New York: United Nations, 2024; Small Business Reorganization Act of 2019, Pub. L. No. 116-54.</w:t>
      </w:r>
    </w:p>
    <w:p/>
    <w:p>
      <w:pPr>
        <w:ind w:firstLine="420"/>
        <w:jc w:val="left"/>
      </w:pPr>
      <w:r>
        <w:rPr>
          <w:rFonts w:ascii="宋体" w:hAnsi="宋体" w:eastAsia="宋体"/>
          <w:b w:val="0"/>
          <w:sz w:val="21"/>
        </w:rPr>
        <w:t>⑩ U.S. Department of Justice, U.S. Trustee Program, “Subchapter V”, https://www.justice.gov/ust/subchapter-v.</w:t>
      </w:r>
    </w:p>
    <w:p/>
    <w:p>
      <w:pPr>
        <w:ind w:firstLine="0"/>
        <w:jc w:val="left"/>
      </w:pPr>
      <w:r>
        <w:rPr>
          <w:rFonts w:ascii="宋体" w:hAnsi="宋体" w:eastAsia="宋体"/>
          <w:b/>
          <w:sz w:val="24"/>
        </w:rPr>
        <w:t>参考文献</w:t>
      </w:r>
    </w:p>
    <w:p/>
    <w:p>
      <w:pPr>
        <w:ind w:firstLine="420"/>
        <w:jc w:val="left"/>
      </w:pPr>
      <w:r>
        <w:rPr>
          <w:rFonts w:ascii="宋体" w:hAnsi="宋体" w:eastAsia="宋体"/>
          <w:b w:val="0"/>
          <w:sz w:val="21"/>
        </w:rPr>
        <w:t>[1] 习近平：《高举中国特色社会主义伟大旗帜 为全面建设社会主义现代化国家而团结奋斗——在中国共产党第二十次全国代表大会上的报告》，北京：人民出版社，2022年。</w:t>
      </w:r>
    </w:p>
    <w:p/>
    <w:p>
      <w:pPr>
        <w:ind w:firstLine="420"/>
        <w:jc w:val="left"/>
      </w:pPr>
      <w:r>
        <w:rPr>
          <w:rFonts w:ascii="宋体" w:hAnsi="宋体" w:eastAsia="宋体"/>
          <w:b w:val="0"/>
          <w:sz w:val="21"/>
        </w:rPr>
        <w:t>[2] 《中华人民共和国企业破产法》，2006年8月27日第十届全国人民代表大会常务委员会第二十三次会议通过。</w:t>
      </w:r>
    </w:p>
    <w:p/>
    <w:p>
      <w:pPr>
        <w:ind w:firstLine="420"/>
        <w:jc w:val="left"/>
      </w:pPr>
      <w:r>
        <w:rPr>
          <w:rFonts w:ascii="宋体" w:hAnsi="宋体" w:eastAsia="宋体"/>
          <w:b w:val="0"/>
          <w:sz w:val="21"/>
        </w:rPr>
        <w:t>[3] 《中华人民共和国中小企业促进法》，2017年9月1日修订。</w:t>
      </w:r>
    </w:p>
    <w:p/>
    <w:p>
      <w:pPr>
        <w:ind w:firstLine="420"/>
        <w:jc w:val="left"/>
      </w:pPr>
      <w:r>
        <w:rPr>
          <w:rFonts w:ascii="宋体" w:hAnsi="宋体" w:eastAsia="宋体"/>
          <w:b w:val="0"/>
          <w:sz w:val="21"/>
        </w:rPr>
        <w:t>[4] 最高人民法院：《最高人民法院关于印发〈全国法院破产审判工作会议纪要〉的通知》，《中华人民共和国最高人民法院公报》2018年第3期。</w:t>
      </w:r>
    </w:p>
    <w:p/>
    <w:p>
      <w:pPr>
        <w:ind w:firstLine="420"/>
        <w:jc w:val="left"/>
      </w:pPr>
      <w:r>
        <w:rPr>
          <w:rFonts w:ascii="宋体" w:hAnsi="宋体" w:eastAsia="宋体"/>
          <w:b w:val="0"/>
          <w:sz w:val="21"/>
        </w:rPr>
        <w:t>[5] 最高人民法院：《关于为加快建设全国统一大市场提供司法服务和保障的意见》，2022年7月14日。</w:t>
      </w:r>
    </w:p>
    <w:p/>
    <w:p>
      <w:pPr>
        <w:ind w:firstLine="420"/>
        <w:jc w:val="left"/>
      </w:pPr>
      <w:r>
        <w:rPr>
          <w:rFonts w:ascii="宋体" w:hAnsi="宋体" w:eastAsia="宋体"/>
          <w:b w:val="0"/>
          <w:sz w:val="21"/>
        </w:rPr>
        <w:t>[6] 吴倩倩：《中小企业重整实践的困境与破解》，《法学》2023年第6期。</w:t>
      </w:r>
    </w:p>
    <w:p/>
    <w:p>
      <w:pPr>
        <w:ind w:firstLine="420"/>
        <w:jc w:val="left"/>
      </w:pPr>
      <w:r>
        <w:rPr>
          <w:rFonts w:ascii="宋体" w:hAnsi="宋体" w:eastAsia="宋体"/>
          <w:b w:val="0"/>
          <w:sz w:val="21"/>
        </w:rPr>
        <w:t>[7] 金春：《中小微企业重整中出资人权益保留的理论证成与路径选择》，《清华法学》2023年第6期。</w:t>
      </w:r>
    </w:p>
    <w:p/>
    <w:p>
      <w:pPr>
        <w:ind w:firstLine="420"/>
        <w:jc w:val="left"/>
      </w:pPr>
      <w:r>
        <w:rPr>
          <w:rFonts w:ascii="宋体" w:hAnsi="宋体" w:eastAsia="宋体"/>
          <w:b w:val="0"/>
          <w:sz w:val="21"/>
        </w:rPr>
        <w:t>[8] UNCITRAL, Legislative Guide on Insolvency Law for Micro- and Small Enterprises, New York: United Nations, 2024.</w:t>
      </w:r>
    </w:p>
    <w:p/>
    <w:p>
      <w:pPr>
        <w:ind w:firstLine="420"/>
        <w:jc w:val="left"/>
      </w:pPr>
      <w:r>
        <w:rPr>
          <w:rFonts w:ascii="宋体" w:hAnsi="宋体" w:eastAsia="宋体"/>
          <w:b w:val="0"/>
          <w:sz w:val="21"/>
        </w:rPr>
        <w:t>[9] Small Business Reorganization Act of 2019, Pub. L. No. 116-54.</w:t>
      </w:r>
    </w:p>
    <w:p/>
    <w:p>
      <w:pPr>
        <w:ind w:firstLine="420"/>
        <w:jc w:val="left"/>
      </w:pPr>
      <w:r>
        <w:rPr>
          <w:rFonts w:ascii="宋体" w:hAnsi="宋体" w:eastAsia="宋体"/>
          <w:b w:val="0"/>
          <w:sz w:val="21"/>
        </w:rPr>
        <w:t>[10] U.S. Department of Justice, U.S. Trustee Program, “Subchapter V”, https://www.justice.gov/ust/subchapter-v.</w:t>
      </w:r>
    </w:p>
    <w:p/>
    <w:p>
      <w:pPr>
        <w:ind w:firstLine="0"/>
        <w:jc w:val="left"/>
      </w:pPr>
      <w:r>
        <w:rPr>
          <w:rFonts w:ascii="宋体" w:hAnsi="宋体" w:eastAsia="宋体"/>
          <w:b/>
          <w:sz w:val="24"/>
        </w:rPr>
        <w:t>作者简介</w:t>
      </w:r>
    </w:p>
    <w:p/>
    <w:p>
      <w:pPr>
        <w:ind w:firstLine="420"/>
        <w:jc w:val="left"/>
      </w:pPr>
      <w:r>
        <w:rPr>
          <w:rFonts w:ascii="宋体" w:hAnsi="宋体" w:eastAsia="宋体"/>
          <w:b w:val="0"/>
          <w:sz w:val="21"/>
        </w:rPr>
        <w:t>作者简介：此处可按《马克思主义研究》投稿规范补充作者信息，包括姓名、出生年月、性别、民族、职称或学位、工作单位、研究方向、通信地址、邮政编码、电子邮箱、联系电话等。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