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jc w:val="center"/>
        <w:spacing w:after="120" w:line="360" w:lineRule="auto"/>
      </w:pPr>
      <w:r>
        <w:rPr>
          <w:b/>
          <w:bCs/>
          <w:rFonts w:eastAsia="宋体" w:ascii="Times New Roman" w:hAnsi="Times New Roman"/>
          <w:sz w:val="24"/>
          <w:szCs w:val="24"/>
        </w:rPr>
        <w:t xml:space="preserve">《刑事诉讼法》课程论文</w:t>
      </w:r>
    </w:p>
    <w:p>
      <w:pPr>
        <w:jc w:val="center"/>
        <w:spacing w:after="120" w:line="360" w:lineRule="auto"/>
      </w:pPr>
      <w:r>
        <w:rPr>
          <w:b/>
          <w:bCs/>
          <w:rFonts w:eastAsia="宋体" w:ascii="Times New Roman" w:hAnsi="Times New Roman"/>
          <w:sz w:val="26"/>
          <w:szCs w:val="26"/>
        </w:rPr>
        <w:t xml:space="preserve">题目：刑事指定管辖的程序控制研究</w:t>
      </w:r>
    </w:p>
    <w:p>
      <w:pPr>
        <w:jc w:val="center"/>
        <w:spacing w:after="120" w:line="360" w:lineRule="auto"/>
      </w:pPr>
      <w:r>
        <w:rPr>
          <w:b/>
          <w:bCs/>
          <w:rFonts w:eastAsia="宋体" w:ascii="Times New Roman" w:hAnsi="Times New Roman"/>
          <w:sz w:val="24"/>
          <w:szCs w:val="24"/>
        </w:rPr>
        <w:t xml:space="preserve">课程名称： 刑事诉讼法</w:t>
      </w:r>
    </w:p>
    <w:p>
      <w:pPr>
        <w:jc w:val="center"/>
        <w:spacing w:after="120" w:line="360" w:lineRule="auto"/>
      </w:pPr>
      <w:r>
        <w:rPr>
          <w:b/>
          <w:bCs/>
          <w:rFonts w:eastAsia="宋体" w:ascii="Times New Roman" w:hAnsi="Times New Roman"/>
          <w:sz w:val="24"/>
          <w:szCs w:val="24"/>
        </w:rPr>
        <w:t xml:space="preserve">班 级： 25法律（法学）</w:t>
      </w:r>
    </w:p>
    <w:p>
      <w:pPr>
        <w:jc w:val="center"/>
        <w:spacing w:after="120" w:line="360" w:lineRule="auto"/>
      </w:pPr>
      <w:r>
        <w:rPr>
          <w:b/>
          <w:bCs/>
          <w:rFonts w:eastAsia="宋体" w:ascii="Times New Roman" w:hAnsi="Times New Roman"/>
          <w:sz w:val="24"/>
          <w:szCs w:val="24"/>
        </w:rPr>
        <w:t xml:space="preserve">学 　 号： 25020070121</w:t>
      </w:r>
    </w:p>
    <w:p>
      <w:pPr>
        <w:jc w:val="center"/>
        <w:spacing w:after="120" w:line="360" w:lineRule="auto"/>
      </w:pPr>
      <w:r>
        <w:rPr>
          <w:b/>
          <w:bCs/>
          <w:rFonts w:eastAsia="宋体" w:ascii="Times New Roman" w:hAnsi="Times New Roman"/>
          <w:sz w:val="24"/>
          <w:szCs w:val="24"/>
        </w:rPr>
        <w:t xml:space="preserve">学生姓名： 陈水桓</w:t>
      </w:r>
    </w:p>
    <w:p>
      <w:pPr>
        <w:jc w:val="center"/>
        <w:spacing w:after="120" w:line="360" w:lineRule="auto"/>
      </w:pPr>
      <w:r>
        <w:rPr>
          <w:b/>
          <w:bCs/>
          <w:rFonts w:eastAsia="宋体" w:ascii="Times New Roman" w:hAnsi="Times New Roman"/>
          <w:sz w:val="24"/>
          <w:szCs w:val="24"/>
        </w:rPr>
        <w:t xml:space="preserve">二0二六年五月</w:t>
      </w:r>
    </w:p>
    <w:p>
      <w:pPr>
        <w:spacing w:after="120" w:line="360" w:lineRule="auto"/>
      </w:pPr>
      <w:r>
        <w:br w:type="page"/>
      </w:r>
    </w:p>
    <w:p>
      <w:pPr>
        <w:jc w:val="center"/>
        <w:spacing w:after="120" w:line="360" w:lineRule="auto"/>
      </w:pPr>
      <w:r>
        <w:rPr>
          <w:b/>
          <w:bCs/>
          <w:rFonts w:eastAsia="宋体" w:ascii="Times New Roman" w:hAnsi="Times New Roman"/>
          <w:sz w:val="32"/>
          <w:szCs w:val="32"/>
        </w:rPr>
        <w:t xml:space="preserve">刑事指定管辖的程序控制研究</w:t>
      </w:r>
    </w:p>
    <w:p>
      <w:pPr>
        <w:spacing w:after="120" w:line="360" w:lineRule="auto"/>
      </w:pPr>
      <w:r>
        <w:rPr>
          <w:rFonts w:eastAsia="宋体" w:ascii="Times New Roman" w:hAnsi="Times New Roman"/>
          <w:sz w:val="24"/>
          <w:szCs w:val="24"/>
        </w:rPr>
        <w:t xml:space="preserve">摘 要：刑事指定管辖原本是法定管辖不能正常发挥作用时的一种补充机制。它可以解决管辖争议，也可以在地方干扰较强、办案机关整体不宜办理案件时，将案件转交其他机关处理。但是近几年刑事司法实践中，指定管辖的功能正在发生变化：它不再只是审判阶段的例外安排，而是越来越多地出现在侦查、监察调查以及审查起诉衔接过程中。问题并不在于指定管辖本身应否存在，而在于它是否被放在了正确的位置。唐山烧烤店打人案中的异地侦查，确实回应了社会公众对本地办案公正性的疑虑；但如果这种决定缺少充分说理和救济渠道，就可能使“回应舆论”替代“依法确定管辖”。职务犯罪案件中的指定管辖也有类似问题，反腐败工作需要排除地方关系干扰，但监察指定管辖一旦当然牵引后续起诉和审判，就会改变刑事诉讼本身的管辖逻辑。本文认为，指定管辖应当回到例外制度的位置，改革重点不是简单限制指定管辖数量，而是将其纳入程序控制：明确适用理由，强化书面说理，允许被追诉人提出管辖异议，并由检察机关和法院分别承担监督、审查责任。</w:t>
      </w:r>
    </w:p>
    <w:p>
      <w:pPr>
        <w:spacing w:after="120" w:line="360" w:lineRule="auto"/>
      </w:pPr>
      <w:r>
        <w:rPr>
          <w:rFonts w:eastAsia="宋体" w:ascii="Times New Roman" w:hAnsi="Times New Roman"/>
          <w:sz w:val="24"/>
          <w:szCs w:val="24"/>
        </w:rPr>
        <w:t xml:space="preserve">关键词：指定管辖；管辖异议；侦查管辖；监察调查；程序控制</w:t>
      </w:r>
    </w:p>
    <w:p>
      <w:pPr>
        <w:spacing w:after="120" w:line="360" w:lineRule="auto"/>
      </w:pPr>
      <w:r>
        <w:rPr>
          <w:b/>
          <w:bCs/>
          <w:rFonts w:eastAsia="宋体" w:ascii="Times New Roman" w:hAnsi="Times New Roman"/>
          <w:sz w:val="28"/>
          <w:szCs w:val="28"/>
        </w:rPr>
        <w:t xml:space="preserve">一、问题的提出：指定管辖为什么不能只被看成办案便利</w:t>
      </w:r>
    </w:p>
    <w:p>
      <w:pPr>
        <w:ind w:firstLineChars="200"/>
        <w:spacing w:after="120" w:line="360" w:lineRule="auto"/>
      </w:pPr>
      <w:r>
        <w:rPr>
          <w:rFonts w:eastAsia="宋体" w:ascii="Times New Roman" w:hAnsi="Times New Roman"/>
          <w:sz w:val="24"/>
          <w:szCs w:val="24"/>
        </w:rPr>
        <w:t xml:space="preserve">管辖制度在刑事诉讼中常被理解为案件分配规则。按照这种理解，管辖解决的是“哪个机关办案”的问题，似乎并不直接影响案件实体结果。可是，阅读相关文献和案例后，我更倾向于认为，管辖是刑事程序的入口，入口由谁掌握，往往会影响后面一连串程序选择。</w:t>
      </w:r>
    </w:p>
    <w:p>
      <w:pPr>
        <w:ind w:firstLineChars="200"/>
        <w:spacing w:after="120" w:line="360" w:lineRule="auto"/>
      </w:pPr>
      <w:r>
        <w:rPr>
          <w:rFonts w:eastAsia="宋体" w:ascii="Times New Roman" w:hAnsi="Times New Roman"/>
          <w:sz w:val="24"/>
          <w:szCs w:val="24"/>
        </w:rPr>
        <w:t xml:space="preserve">侦查机关取得管辖权后，可以决定由谁收集证据、在哪里讯问、怎样采取查封扣押冻结措施；检察机关取得管辖权后，决定由哪一地的检察机关审查起诉、如何与侦查机关沟通补证；法院取得管辖权后，则决定案件由哪个审判环境处理。对于被追诉人来说，这些并不是抽象的程序问题，而是会转化为会见成本、取证难度、证人出庭成本和审判中立性的现实问题。</w:t>
      </w:r>
    </w:p>
    <w:p>
      <w:pPr>
        <w:ind w:firstLineChars="200"/>
        <w:spacing w:after="120" w:line="360" w:lineRule="auto"/>
      </w:pPr>
      <w:r>
        <w:rPr>
          <w:rFonts w:eastAsia="宋体" w:ascii="Times New Roman" w:hAnsi="Times New Roman"/>
          <w:sz w:val="24"/>
          <w:szCs w:val="24"/>
        </w:rPr>
        <w:t xml:space="preserve">唐山烧烤店打人案很能说明这一点。案件发生后，河北省公安厅指定廊坊市公安局广阳分局侦查办理。张培铮在讨论公安机关侦查指定管辖时提到，该案之所以引发关注，并不只是因为实体法上的定罪量刑问题，还因为社会公众担心本地侦查是否会受到地方因素影响。[1] 从结果看，异地侦查确实有稳定公众预期的作用。问题在于，若我们只用“社会影响大”“公众关注度高”来解释指定管辖，标准就会变得很松。一个案件舆论越大，越容易异地指定；但舆论大小本身并不是法律标准。更关键的是，指定管辖究竟是因为本地机关不宜办理，还是因为上级机关希望迅速平息舆论？这两者在效果上可能相似，在法理上却不一样。</w:t>
      </w:r>
    </w:p>
    <w:p>
      <w:pPr>
        <w:ind w:firstLineChars="200"/>
        <w:spacing w:after="120" w:line="360" w:lineRule="auto"/>
      </w:pPr>
      <w:r>
        <w:rPr>
          <w:rFonts w:eastAsia="宋体" w:ascii="Times New Roman" w:hAnsi="Times New Roman"/>
          <w:sz w:val="24"/>
          <w:szCs w:val="24"/>
        </w:rPr>
        <w:t xml:space="preserve">这也是本文要讨论的核心问题：指定管辖不能只从“方便办案”角度理解，它还牵涉被追诉人由法定机关办理案件的程序利益。指定管辖当然不是坏制度，但它是一种改变原有管辖安排的制度。既然它改变了原先的法律分配，就需要说明为什么改变、改变到哪里、由谁监督、当事人能不能提出异议。</w:t>
      </w:r>
    </w:p>
    <w:p>
      <w:pPr>
        <w:spacing w:after="120" w:line="360" w:lineRule="auto"/>
      </w:pPr>
      <w:r>
        <w:rPr>
          <w:b/>
          <w:bCs/>
          <w:rFonts w:eastAsia="宋体" w:ascii="Times New Roman" w:hAnsi="Times New Roman"/>
          <w:sz w:val="28"/>
          <w:szCs w:val="28"/>
        </w:rPr>
        <w:t xml:space="preserve">二、两种相反观点及其不足</w:t>
      </w:r>
    </w:p>
    <w:p>
      <w:pPr>
        <w:ind w:firstLineChars="200"/>
        <w:spacing w:after="120" w:line="360" w:lineRule="auto"/>
      </w:pPr>
      <w:r>
        <w:rPr>
          <w:rFonts w:eastAsia="宋体" w:ascii="Times New Roman" w:hAnsi="Times New Roman"/>
          <w:sz w:val="24"/>
          <w:szCs w:val="24"/>
        </w:rPr>
        <w:t xml:space="preserve">围绕刑事指定管辖，大致存在两种容易走向极端的观点。</w:t>
      </w:r>
    </w:p>
    <w:p>
      <w:pPr>
        <w:ind w:firstLineChars="200"/>
        <w:spacing w:after="120" w:line="360" w:lineRule="auto"/>
      </w:pPr>
      <w:r>
        <w:rPr>
          <w:rFonts w:eastAsia="宋体" w:ascii="Times New Roman" w:hAnsi="Times New Roman"/>
          <w:sz w:val="24"/>
          <w:szCs w:val="24"/>
        </w:rPr>
        <w:t xml:space="preserve">一种观点偏重效率，认为刑事犯罪形态越来越复杂，网络犯罪、经济犯罪、职务犯罪经常跨地区发生，如果仍然拘泥于传统地域管辖规则，案件办理会非常困难。按照这一看法，指定管辖是一种灵活工具，可以快速解决管辖冲突，排除地方阻力，也能集中办案力量。这个观点有现实基础。比如跨区域电信诈骗案件中，犯罪行为地、被害人所在地、资金流转地可能分散在多个地方，如果所有机关都等待别人先办，追诉活动可能难以展开。</w:t>
      </w:r>
    </w:p>
    <w:p>
      <w:pPr>
        <w:ind w:firstLineChars="200"/>
        <w:spacing w:after="120" w:line="360" w:lineRule="auto"/>
      </w:pPr>
      <w:r>
        <w:rPr>
          <w:rFonts w:eastAsia="宋体" w:ascii="Times New Roman" w:hAnsi="Times New Roman"/>
          <w:sz w:val="24"/>
          <w:szCs w:val="24"/>
        </w:rPr>
        <w:t xml:space="preserve">但效率观点的问题在于，它容易把指定管辖看成内部管理技术，而忽略被追诉人的程序位置。侦查指定管辖一旦作出，后续审查起诉和审判往往会顺着侦查地继续进行。郭烁、吴子越就指出，侦查指定管辖在实践中存在适用条件不明确、适用次数缺乏限制、监督制约机制不足等问题。[2] 这意味着，侦查阶段的一个决定，可能在事实上提前安排了案件的诉讼路线。若不加限制，所谓“便利侦查”就可能变成“侦查决定审判”。</w:t>
      </w:r>
    </w:p>
    <w:p>
      <w:pPr>
        <w:ind w:firstLineChars="200"/>
        <w:spacing w:after="120" w:line="360" w:lineRule="auto"/>
      </w:pPr>
      <w:r>
        <w:rPr>
          <w:rFonts w:eastAsia="宋体" w:ascii="Times New Roman" w:hAnsi="Times New Roman"/>
          <w:sz w:val="24"/>
          <w:szCs w:val="24"/>
        </w:rPr>
        <w:t xml:space="preserve">另一种观点偏重权利保障，强调法定法官原则和管辖确定性，认为指定管辖是一种“人定法官”，应当尽可能压缩。这个观点提醒我们，管辖不能完全由机关事后选择，否则容易出现选择性办案。但是，如果过度强调确定性，又可能忽视我国刑事案件的复杂现实。有些案件确实存在本地机关整体不宜办理的问题。例如地方领导干部职务犯罪案件，如果被调查人在当地长期任职，案件仍由当地机关办理，社会公众很难相信程序完全不受影响。此时若完全排除指定管辖，反而不利于公正。</w:t>
      </w:r>
    </w:p>
    <w:p>
      <w:pPr>
        <w:ind w:firstLineChars="200"/>
        <w:spacing w:after="120" w:line="360" w:lineRule="auto"/>
      </w:pPr>
      <w:r>
        <w:rPr>
          <w:rFonts w:eastAsia="宋体" w:ascii="Times New Roman" w:hAnsi="Times New Roman"/>
          <w:sz w:val="24"/>
          <w:szCs w:val="24"/>
        </w:rPr>
        <w:t xml:space="preserve">所以，比较合理的判断应当是：指定管辖可以存在，但不能成为不受审查的“快捷键”。它不是法定管辖的替代品，而是法定管辖出现障碍后的补救机制。我的理解是，判断指定管辖是否正当，不能只问“指定后办案是否更快”，还要问三个问题：原管辖机关为什么不适合继续办理？被指定机关和案件之间有没有合理联系？当事人是否有机会知道理由并提出异议？如果这三个问题都回答不清楚，指定管辖就容易滑向任意。</w:t>
      </w:r>
    </w:p>
    <w:p>
      <w:pPr>
        <w:ind w:firstLineChars="200"/>
        <w:spacing w:after="120" w:line="360" w:lineRule="auto"/>
      </w:pPr>
      <w:r>
        <w:rPr>
          <w:rFonts w:eastAsia="宋体" w:ascii="Times New Roman" w:hAnsi="Times New Roman"/>
          <w:sz w:val="24"/>
          <w:szCs w:val="24"/>
        </w:rPr>
        <w:t xml:space="preserve">实际上，两种观点的分歧背后，是对刑事诉讼结构的不同理解。效率观点把刑事程序理解为一条追诉链条，越早确定办案机关，越有利于把案件推下去；权利观点则把刑事程序理解为国家权力逐步进入个人生活的过程，每向前推进一步，都需要说明权力来源。就指定管辖而言，我更赞同后一种视角，但并不认为它必然排斥效率。真正的问题在于，效率不能单独成为改变管辖的理由。比如“某地办案经验丰富”当然可以作为考虑因素，却不能单独支撑指定管辖；如果原管辖地不存在干扰，主要证据也在原地，仅仅因为另一地“更会办案”就改变管辖，实际上是在用行政管理逻辑替代诉讼法逻辑。</w:t>
      </w:r>
    </w:p>
    <w:p>
      <w:pPr>
        <w:ind w:firstLineChars="200"/>
        <w:spacing w:after="120" w:line="360" w:lineRule="auto"/>
      </w:pPr>
      <w:r>
        <w:rPr>
          <w:rFonts w:eastAsia="宋体" w:ascii="Times New Roman" w:hAnsi="Times New Roman"/>
          <w:sz w:val="24"/>
          <w:szCs w:val="24"/>
        </w:rPr>
        <w:t xml:space="preserve">这里还存在一个容易被忽略的学说争议：指定管辖究竟是一种权力配置规则，还是一种权利保障规则？如果只把它看成权力配置规则，决定主体自然是上级机关，当事人只需要接受结果；如果承认它具有权利保障功能，当事人就不应被完全排除在程序之外。我的判断是，指定管辖最初也许主要服务于权力配置，但在今天的刑事诉讼中，它已经不可避免地影响被追诉人的受审地点、辩护条件和证据取得，因此必须被重新理解为兼具权力分配和权利保障双重属性的制度。只有承认这种双重属性，后面讨论听取意见、书面说理和管辖异议才不是额外负担，而是制度本身应有的内容。</w:t>
      </w:r>
    </w:p>
    <w:p>
      <w:pPr>
        <w:spacing w:after="120" w:line="360" w:lineRule="auto"/>
      </w:pPr>
      <w:r>
        <w:rPr>
          <w:b/>
          <w:bCs/>
          <w:rFonts w:eastAsia="宋体" w:ascii="Times New Roman" w:hAnsi="Times New Roman"/>
          <w:sz w:val="28"/>
          <w:szCs w:val="28"/>
        </w:rPr>
        <w:t xml:space="preserve">三、实践中最需要警惕的两个场景</w:t>
      </w:r>
    </w:p>
    <w:p>
      <w:pPr>
        <w:ind w:firstLineChars="200"/>
        <w:spacing w:after="120" w:line="360" w:lineRule="auto"/>
      </w:pPr>
      <w:r>
        <w:rPr>
          <w:rFonts w:eastAsia="宋体" w:ascii="Times New Roman" w:hAnsi="Times New Roman"/>
          <w:sz w:val="24"/>
          <w:szCs w:val="24"/>
        </w:rPr>
        <w:t xml:space="preserve">指定管辖的问题并不是所有案件中都一样突出。相较而言，侦查阶段的异地管辖和职务犯罪中的监察指定管辖，更容易造成后续程序被提前锁定。</w:t>
      </w:r>
    </w:p>
    <w:p>
      <w:pPr>
        <w:ind w:firstLineChars="200"/>
        <w:spacing w:after="120" w:line="360" w:lineRule="auto"/>
      </w:pPr>
      <w:r>
        <w:rPr>
          <w:rFonts w:eastAsia="宋体" w:ascii="Times New Roman" w:hAnsi="Times New Roman"/>
          <w:sz w:val="24"/>
          <w:szCs w:val="24"/>
        </w:rPr>
        <w:t xml:space="preserve">先看侦查阶段的异地管辖。近年来“远洋捕捞”式执法受到社会关注，背后有经济下行压力、地方财政压力、涉案财物返还机制等复杂原因。蔡元培在讨论刑事诉讼移送管辖时指出，管辖制度失灵是异地趋利执法频发的重要原因之一。[3] 这一判断我认为比较准确。许多涉企案件并不是没有任何地域连接点，而是连接点很弱，比如资金经过某地账户、某地有少数被害人、服务器或平台节点与某地有关。办案机关如果据此立案，并迅速查封外地企业财物，后续即使发现主要犯罪地并不在本地，也很难轻易移送。</w:t>
      </w:r>
    </w:p>
    <w:p>
      <w:pPr>
        <w:ind w:firstLineChars="200"/>
        <w:spacing w:after="120" w:line="360" w:lineRule="auto"/>
      </w:pPr>
      <w:r>
        <w:rPr>
          <w:rFonts w:eastAsia="宋体" w:ascii="Times New Roman" w:hAnsi="Times New Roman"/>
          <w:sz w:val="24"/>
          <w:szCs w:val="24"/>
        </w:rPr>
        <w:t xml:space="preserve">值得注意的是，“远洋捕捞”的争议焦点往往不在于异地办案本身是否绝对违法，而在于管辖连接点是否足够实质。法院或司法机关在处理这类争议时，真正需要说明的不是“本机关是否也能找到一个连接点”，而是“这个连接点为什么足以支撑本机关作为主要办案机关”。如果只要有一点资金流、信息流、被害人所在地联系，就可以启动完整刑事追诉，那么犯罪地管辖就会被无限扩张。我的看法是，涉企案件中判断管辖，应当更重视主要犯罪行为地、主要结果发生地和主要证据所在地，而不是把任何弱连接点都解释为管辖根据。</w:t>
      </w:r>
    </w:p>
    <w:p>
      <w:pPr>
        <w:ind w:firstLineChars="200"/>
        <w:spacing w:after="120" w:line="360" w:lineRule="auto"/>
      </w:pPr>
      <w:r>
        <w:rPr>
          <w:rFonts w:eastAsia="宋体" w:ascii="Times New Roman" w:hAnsi="Times New Roman"/>
          <w:sz w:val="24"/>
          <w:szCs w:val="24"/>
        </w:rPr>
        <w:t xml:space="preserve">这一问题还有明显的时代背景。近几年，规范涉企执法、防止利用刑事手段干预经济纠纷被反复强调，原因在于刑事立案、查封扣押冻结一旦进入企业经营活动，影响往往不是单个案件内部可以消化的。企业账户被冻结，员工工资、供应商货款、贷款偿还都会受到影响。也就是说，管辖选择在涉企案件中不只是“由谁办案”，还可能决定一家企业是否还能正常运转。若办案机关在弱连接点基础上取得管辖，并以刑事程序控制异地财物，即使最后案件被纠正，企业经营损害也可能已经发生。</w:t>
      </w:r>
    </w:p>
    <w:p>
      <w:pPr>
        <w:ind w:firstLineChars="200"/>
        <w:spacing w:after="120" w:line="360" w:lineRule="auto"/>
      </w:pPr>
      <w:r>
        <w:rPr>
          <w:rFonts w:eastAsia="宋体" w:ascii="Times New Roman" w:hAnsi="Times New Roman"/>
          <w:sz w:val="24"/>
          <w:szCs w:val="24"/>
        </w:rPr>
        <w:t xml:space="preserve">从法院或检察机关的审查逻辑看，这类案件不能只审查形式上有没有犯罪地连接，还要审查连接点与案件核心事实之间的距离。例如，某地只有一名被害人报案，或者某笔资金短暂停留，是否足以压倒主要经营地、主要合同履行地、主要证据所在地？如果答案是否定的，就应当通过移送管辖或者检察监督尽早调整。这里我不赞成把所有异地办案都贴上“远洋捕捞”的标签，因为跨区域犯罪确实需要跨区域追诉；但我也不赞成只要有司法解释上的连接点，就认为办案机关天然正当。管辖判断应当有强弱之分，而不是有无之分。</w:t>
      </w:r>
    </w:p>
    <w:p>
      <w:pPr>
        <w:ind w:firstLineChars="200"/>
        <w:spacing w:after="120" w:line="360" w:lineRule="auto"/>
      </w:pPr>
      <w:r>
        <w:rPr>
          <w:rFonts w:eastAsia="宋体" w:ascii="Times New Roman" w:hAnsi="Times New Roman"/>
          <w:sz w:val="24"/>
          <w:szCs w:val="24"/>
        </w:rPr>
        <w:t xml:space="preserve">再看职务犯罪案件。监察调查指定管辖的合理性更容易被接受，因为职务犯罪往往牵涉地方权力关系。问题在于，监察管辖的逻辑和刑事诉讼管辖的逻辑并不一致。监察管辖更多围绕干部管理权限展开，刑事诉讼管辖则要考虑案件性质、可能判处刑罚、犯罪地和审级利益。卢少锋、秦景琦通过判决书样本发现，监察机关指定管辖后，被指定监察机关调查完毕再移送本地同级检察机关的情形占比较高。[4] 这说明监察阶段的管辖安排，很容易向审查起诉、审判阶段延伸。</w:t>
      </w:r>
    </w:p>
    <w:p>
      <w:pPr>
        <w:ind w:firstLineChars="200"/>
        <w:spacing w:after="120" w:line="360" w:lineRule="auto"/>
      </w:pPr>
      <w:r>
        <w:rPr>
          <w:rFonts w:eastAsia="宋体" w:ascii="Times New Roman" w:hAnsi="Times New Roman"/>
          <w:sz w:val="24"/>
          <w:szCs w:val="24"/>
        </w:rPr>
        <w:t xml:space="preserve">陈修勇的实证研究进一步显示，在其统计的最高检2018年至2023年通报样本中，职务犯罪指定司法管辖比例很高，并且出现了“常办单位”、指定管辖地相对集中等现象。[5] 这个现象值得重视。表面上看，集中指定给办案经验丰富的地方，有利于提高办案质量；但反过来看，如果某些地方长期成为职务犯罪案件的“常办单位”，指定管辖就不再像随机排除地方干扰，更像形成了一套稳定的办案分工。实际上，这已经偏离了指定管辖作为例外通道的属性。</w:t>
      </w:r>
    </w:p>
    <w:p>
      <w:pPr>
        <w:ind w:firstLineChars="200"/>
        <w:spacing w:after="120" w:line="360" w:lineRule="auto"/>
      </w:pPr>
      <w:r>
        <w:rPr>
          <w:rFonts w:eastAsia="宋体" w:ascii="Times New Roman" w:hAnsi="Times New Roman"/>
          <w:sz w:val="24"/>
          <w:szCs w:val="24"/>
        </w:rPr>
        <w:t xml:space="preserve">在我看来，职务犯罪指定管辖最需要处理的是“调查便利”和“审判管辖”之间的边界。监察机关为了排除地方干扰，可以指定异地调查；但案件进入刑事诉讼后，检察机关和法院不能只是接续监察机关的安排。比如“大官小案”中，被调查人级别较高，但案件本身依法可能属于基层法院管辖，如果仍然因为身份级别而推高审判层级，就会改变刑事诉讼的级别管辖逻辑。反过来，“小官大案”也不能因为调查机关层级低，就忽视案件严重程度。问题不在于监察机关是否可以指定，而在于监察指定不能当然决定刑事审判管辖。</w:t>
      </w:r>
    </w:p>
    <w:p>
      <w:pPr>
        <w:ind w:firstLineChars="200"/>
        <w:spacing w:after="120" w:line="360" w:lineRule="auto"/>
      </w:pPr>
      <w:r>
        <w:rPr>
          <w:rFonts w:eastAsia="宋体" w:ascii="Times New Roman" w:hAnsi="Times New Roman"/>
          <w:sz w:val="24"/>
          <w:szCs w:val="24"/>
        </w:rPr>
        <w:t xml:space="preserve">关于这一点，周长军、韩晗将相关争议概括为“审判管辖统一说”与“维持现状说”，并进一步梳理了“特殊审判管辖说”“异地法官当地审说”，以及实务中的“就地同级诉审模式”“回转本地诉审模式”。本文前述所谓“维持现状”并不是某位学者的原话，而是对该文中“维持现状说”及实务中就地同级诉审模式的概括：其基本考虑是承认监察调查的特殊性，通过指定管辖和机关协调维持办案效率。这个观点的优势在于看到了反腐败案件的现实阻力，但问题也很明显：如果监察机关的指定结果自然延伸到检察院和法院，刑事诉讼中的分工制约就会被削弱。另一种更接近“回转本地诉审模式”的方案，则主张调查终结后原则上回到有干部管理权限的监察机关所在地对应的检法机关诉审，例外时才在调查地继续诉审。周长军、韩晗认为，这一模式有利于减少检法机关被动指定、稳定当事人预期，并避免“调查绑定审判”；但其也会带来退回补充调查、变更公诉时的衔接障碍，且审查起诉和审判阶段如何继续防范外来干扰仍需解决。我的担心是，在重大职务犯罪案件中，这种“回转”若缺少配套隔离机制，可能重新面对原先试图通过异地调查排除的地方关系压力。[11]</w:t>
      </w:r>
    </w:p>
    <w:p>
      <w:pPr>
        <w:ind w:firstLineChars="200"/>
        <w:spacing w:after="120" w:line="360" w:lineRule="auto"/>
      </w:pPr>
      <w:r>
        <w:rPr>
          <w:rFonts w:eastAsia="宋体" w:ascii="Times New Roman" w:hAnsi="Times New Roman"/>
          <w:sz w:val="24"/>
          <w:szCs w:val="24"/>
        </w:rPr>
        <w:t xml:space="preserve">我更倾向于折中方案：监察调查阶段可以为了排除干扰而指定异地，但移送审查起诉时必须重新进行一次刑事诉讼管辖审查。这个审查不应只是形式上看“是否同级对应”，还应判断案件本身依法应由哪一级法院审判、主要证据和证人在哪里、被指定地与案件有没有最低限度联系。如果继续异地起诉审判，应当说明理由；如果没有继续异地的必要，就应当依法移送或者重新指定。这意味着监察机关可以决定调查安排，却不能独自决定刑事审判场域。</w:t>
      </w:r>
    </w:p>
    <w:p>
      <w:pPr>
        <w:spacing w:after="120" w:line="360" w:lineRule="auto"/>
      </w:pPr>
      <w:r>
        <w:rPr>
          <w:b/>
          <w:bCs/>
          <w:rFonts w:eastAsia="宋体" w:ascii="Times New Roman" w:hAnsi="Times New Roman"/>
          <w:sz w:val="28"/>
          <w:szCs w:val="28"/>
        </w:rPr>
        <w:t xml:space="preserve">四、从王成忠案看管辖异议的真实功能</w:t>
      </w:r>
    </w:p>
    <w:p>
      <w:pPr>
        <w:ind w:firstLineChars="200"/>
        <w:spacing w:after="120" w:line="360" w:lineRule="auto"/>
      </w:pPr>
      <w:r>
        <w:rPr>
          <w:rFonts w:eastAsia="宋体" w:ascii="Times New Roman" w:hAnsi="Times New Roman"/>
          <w:sz w:val="24"/>
          <w:szCs w:val="24"/>
        </w:rPr>
        <w:t xml:space="preserve">讨论管辖权异议时，最容易出现一种误解：认为这是律师拖延诉讼的策略。确实，任何程序权利都可能被滥用，但不能因为可能滥用，就否定制度本身的价值。</w:t>
      </w:r>
    </w:p>
    <w:p>
      <w:pPr>
        <w:ind w:firstLineChars="200"/>
        <w:spacing w:after="120" w:line="360" w:lineRule="auto"/>
      </w:pPr>
      <w:r>
        <w:rPr>
          <w:rFonts w:eastAsia="宋体" w:ascii="Times New Roman" w:hAnsi="Times New Roman"/>
          <w:sz w:val="24"/>
          <w:szCs w:val="24"/>
        </w:rPr>
        <w:t xml:space="preserve">王成忠案可以作为观察入口。徐昕在讨论程序辩护时提到，吉林王成忠案中，辽源中院刑二庭庭长审理民三庭庭长，辩护人在庭审直播中提出回避问题，后来吉林高院指定通化中院管辖。[6] 这个案件的争议焦点并不只是某个法官个人是否应当回避，而是原审法院整体是否适合审理本院相关人员案件。传统回避制度主要处理法官个人与案件的利害关系，但当案件牵涉法院内部人员、法院整体形象和同事情感时，单个法官回避未必足够。</w:t>
      </w:r>
    </w:p>
    <w:p>
      <w:pPr>
        <w:ind w:firstLineChars="200"/>
        <w:spacing w:after="120" w:line="360" w:lineRule="auto"/>
      </w:pPr>
      <w:r>
        <w:rPr>
          <w:rFonts w:eastAsia="宋体" w:ascii="Times New Roman" w:hAnsi="Times New Roman"/>
          <w:sz w:val="24"/>
          <w:szCs w:val="24"/>
        </w:rPr>
        <w:t xml:space="preserve">法院后来通过指定管辖处理该案，我认为是合理的。它实际上承认了一个问题：有些案件中的公正疑虑不是来自某个审判人员，而是来自整个审判环境。此时，如果仍然要求被告人只能申请个别法官回避，就无法触及真正的问题。指定管辖在这里起到的作用，不是为了办案方便，而是替代了我国刑事诉讼中尚未充分展开的“整体回避”功能。</w:t>
      </w:r>
    </w:p>
    <w:p>
      <w:pPr>
        <w:ind w:firstLineChars="200"/>
        <w:spacing w:after="120" w:line="360" w:lineRule="auto"/>
      </w:pPr>
      <w:r>
        <w:rPr>
          <w:rFonts w:eastAsia="宋体" w:ascii="Times New Roman" w:hAnsi="Times New Roman"/>
          <w:sz w:val="24"/>
          <w:szCs w:val="24"/>
        </w:rPr>
        <w:t xml:space="preserve">从争议焦点看，王成忠案中最难处理的不是“审判长个人是否认识被告人”，而是法院内部长期共同工作关系是否会让外界产生合理怀疑。传统回避制度可以处理法官与案件、当事人之间的具体利害关系，却很难处理一个法院整体陷入尴尬位置的情形。吉林高院后来指定通化中院管辖，背后的法律逻辑应当是：审判中立不仅要求实际没有偏私，也要求程序外观上足以让人相信没有偏私。我的评价是，这种处理没有突破刑事诉讼法的基本框架，反而是在现有回避制度不足的情况下，用指定管辖补上了整体回避的空缺。</w:t>
      </w:r>
    </w:p>
    <w:p>
      <w:pPr>
        <w:ind w:firstLineChars="200"/>
        <w:spacing w:after="120" w:line="360" w:lineRule="auto"/>
      </w:pPr>
      <w:r>
        <w:rPr>
          <w:rFonts w:eastAsia="宋体" w:ascii="Times New Roman" w:hAnsi="Times New Roman"/>
          <w:sz w:val="24"/>
          <w:szCs w:val="24"/>
        </w:rPr>
        <w:t xml:space="preserve">不过，这个案件也暴露出制度不足。合理的程序不应依赖庭审直播、社会关注或者辩护人的强力推动，才被上级法院纠正。更稳妥的制度应当允许被告人及辩护人在审判前提出管辖异议，法院必须以书面形式处理；如果异议涉及本院整体不宜审理，还应当报请上级法院决定。这样，管辖异议就不是临场对抗，而是正常的程序审查。</w:t>
      </w:r>
    </w:p>
    <w:p>
      <w:pPr>
        <w:ind w:firstLineChars="200"/>
        <w:spacing w:after="120" w:line="360" w:lineRule="auto"/>
      </w:pPr>
      <w:r>
        <w:rPr>
          <w:rFonts w:eastAsia="宋体" w:ascii="Times New Roman" w:hAnsi="Times New Roman"/>
          <w:sz w:val="24"/>
          <w:szCs w:val="24"/>
        </w:rPr>
        <w:t xml:space="preserve">周涛把刑事审判管辖异议理解为基于辩护权产生的诉讼请求，这一点我赞同。[7] 但我还想补充一点：管辖异议不仅是被告人的辩护权，也是法院保护自身中立形象的工具。法院如果主动、及时处理管辖疑问，反而能减少外界对“自己人审自己人”“地方保护”的怀疑。</w:t>
      </w:r>
    </w:p>
    <w:p>
      <w:pPr>
        <w:spacing w:after="120" w:line="360" w:lineRule="auto"/>
      </w:pPr>
      <w:r>
        <w:rPr>
          <w:b/>
          <w:bCs/>
          <w:rFonts w:eastAsia="宋体" w:ascii="Times New Roman" w:hAnsi="Times New Roman"/>
          <w:sz w:val="28"/>
          <w:szCs w:val="28"/>
        </w:rPr>
        <w:t xml:space="preserve">五、制度完善不宜过于工整，关键是抓住几个节点</w:t>
      </w:r>
    </w:p>
    <w:p>
      <w:pPr>
        <w:ind w:firstLineChars="200"/>
        <w:spacing w:after="120" w:line="360" w:lineRule="auto"/>
      </w:pPr>
      <w:r>
        <w:rPr>
          <w:rFonts w:eastAsia="宋体" w:ascii="Times New Roman" w:hAnsi="Times New Roman"/>
          <w:sz w:val="24"/>
          <w:szCs w:val="24"/>
        </w:rPr>
        <w:t xml:space="preserve">如果把所有问题都列成整齐的制度清单，反而容易忽略真正关键的地方。刑事指定管辖的改革，我认为不需要设计过于复杂的程序，而应抓住几个能改变实际运行逻辑的节点。</w:t>
      </w:r>
    </w:p>
    <w:p>
      <w:pPr>
        <w:ind w:firstLineChars="200"/>
        <w:spacing w:after="120" w:line="360" w:lineRule="auto"/>
      </w:pPr>
      <w:r>
        <w:rPr>
          <w:rFonts w:eastAsia="宋体" w:ascii="Times New Roman" w:hAnsi="Times New Roman"/>
          <w:sz w:val="24"/>
          <w:szCs w:val="24"/>
        </w:rPr>
        <w:t xml:space="preserve">第一个节点是理由公开。指定管辖决定不能只写“情况特殊”“更为适宜”。至少应当说明原管辖机关为什么不适合办理，被指定机关为什么适合办理，案件主要证据、主要犯罪地、被害人所在地等因素如何考虑。这里的公开不一定是向社会完全公开，但至少应当向当事人和辩护人说明。没有理由的指定管辖，本质上很难被审查。</w:t>
      </w:r>
    </w:p>
    <w:p>
      <w:pPr>
        <w:ind w:firstLineChars="200"/>
        <w:spacing w:after="120" w:line="360" w:lineRule="auto"/>
      </w:pPr>
      <w:r>
        <w:rPr>
          <w:rFonts w:eastAsia="宋体" w:ascii="Times New Roman" w:hAnsi="Times New Roman"/>
          <w:sz w:val="24"/>
          <w:szCs w:val="24"/>
        </w:rPr>
        <w:t xml:space="preserve">第二个节点是移送管辖优先。很多案件并不需要上级机关直接指定，而是原办案机关发现不适合管辖后，移送给主要犯罪地或者更适合的机关。移送管辖比指定管辖的行政色彩更弱，也更接近自我纠错。蔡元培主张重构移送管辖制度，并强调其纠正管辖错误、替代集体回避和兼顾诉讼便利的功能。[8] 这一思路可以吸收。尤其在涉企案件中，如果主要犯罪地和主要证据都在企业所在地，外地机关仅凭弱连接点立案后拒不移送，就应当受到检察监督。</w:t>
      </w:r>
    </w:p>
    <w:p>
      <w:pPr>
        <w:ind w:firstLineChars="200"/>
        <w:spacing w:after="120" w:line="360" w:lineRule="auto"/>
      </w:pPr>
      <w:r>
        <w:rPr>
          <w:rFonts w:eastAsia="宋体" w:ascii="Times New Roman" w:hAnsi="Times New Roman"/>
          <w:sz w:val="24"/>
          <w:szCs w:val="24"/>
        </w:rPr>
        <w:t xml:space="preserve">第三个节点是分阶段异议。李昀遥主张刑事管辖权异议不应限于审判阶段，而应覆盖立案、侦查、审查起诉和审判全过程。[9] 这个观点看起来会增加程序负担，但实际上有其道理。管辖错误越早纠正，成本越低。等案件进入审判后再处理，侦查、起诉、羁押、涉案财物处置都已经完成，法院即使发现问题，也会面临很大的纠错压力。所以，侦查阶段应允许犯罪嫌疑人和辩护人向作出指定决定的上级机关提出异议，同时可以申请检察机关监督；审查起诉阶段由检察机关审查起诉管辖是否与审判管辖对应；审判阶段则由法院实质处理管辖异议。</w:t>
      </w:r>
    </w:p>
    <w:p>
      <w:pPr>
        <w:ind w:firstLineChars="200"/>
        <w:spacing w:after="120" w:line="360" w:lineRule="auto"/>
      </w:pPr>
      <w:r>
        <w:rPr>
          <w:rFonts w:eastAsia="宋体" w:ascii="Times New Roman" w:hAnsi="Times New Roman"/>
          <w:sz w:val="24"/>
          <w:szCs w:val="24"/>
        </w:rPr>
        <w:t xml:space="preserve">第四个节点是后果区分。管辖错误不能一概导致程序无效，否则会造成过高的制度成本；但也不能完全没有后果，否则管辖异议就没有意义。比较可行的做法是区分轻重：一般管辖瑕疵，如果没有影响被追诉人权利和案件公正，可以移送后继续使用已经合法取得的证据；如果是明显无管辖权、恶意争抢管辖、借指定管辖规避强制措施条件，则应确认相关程序违法，对违法取得的证据、强制措施和涉案财物处理分别评价。</w:t>
      </w:r>
    </w:p>
    <w:p>
      <w:pPr>
        <w:ind w:firstLineChars="200"/>
        <w:spacing w:after="120" w:line="360" w:lineRule="auto"/>
      </w:pPr>
      <w:r>
        <w:rPr>
          <w:rFonts w:eastAsia="宋体" w:ascii="Times New Roman" w:hAnsi="Times New Roman"/>
          <w:sz w:val="24"/>
          <w:szCs w:val="24"/>
        </w:rPr>
        <w:t xml:space="preserve">最后还要强调审判管辖的最终审查。谢小剑提出审查起诉地域管辖应与审判地域管辖相对应，而不能简单由侦查管辖决定。[10] 这个判断放在整个指定管辖制度中同样成立。刑事诉讼最终由法院审判，法院不能只是承接侦查机关或监察机关已经形成的管辖结果。案件到达法院后，法院仍应主动审查本院是否依法具有管辖权；被告人提出异议时，也应作出实质回应，而不是把“已经指定管辖”当成无需审查的理由。</w:t>
      </w:r>
    </w:p>
    <w:p>
      <w:pPr>
        <w:ind w:firstLineChars="200"/>
        <w:spacing w:after="120" w:line="360" w:lineRule="auto"/>
      </w:pPr>
      <w:r>
        <w:rPr>
          <w:rFonts w:eastAsia="宋体" w:ascii="Times New Roman" w:hAnsi="Times New Roman"/>
          <w:sz w:val="24"/>
          <w:szCs w:val="24"/>
        </w:rPr>
        <w:t xml:space="preserve">还有一个更棘手的问题：如果管辖确实错误，已经取得的证据和已经作出的强制措施怎么办？这里同样有两种倾向。一种意见主张“原则有效”，认为管辖错误只是机关之间的分工错误，只要证据内容真实、取证方式没有刑讯逼供等严重违法，就不应轻易否定既有程序。这个观点考虑到了诉讼效率，也避免案件因为管辖瑕疵全部推倒重来。另一种意见则强调程序制裁，认为没有管辖权的机关本来就不应启动侦查，其取得的证据、采取的强制措施都存在主体不适格问题，如果不设置无效后果，管辖规则就会变成没有牙齿的规范。</w:t>
      </w:r>
    </w:p>
    <w:p>
      <w:pPr>
        <w:ind w:firstLineChars="200"/>
        <w:spacing w:after="120" w:line="360" w:lineRule="auto"/>
      </w:pPr>
      <w:r>
        <w:rPr>
          <w:rFonts w:eastAsia="宋体" w:ascii="Times New Roman" w:hAnsi="Times New Roman"/>
          <w:sz w:val="24"/>
          <w:szCs w:val="24"/>
        </w:rPr>
        <w:t xml:space="preserve">我认为两种观点都不能直接照搬。完全有效说会让违法管辖没有成本，办案机关即使抢先立案、异地查封，也可以在事后说“不影响证据真实性”；但绝对无效说也会带来另一种风险，即轻微管辖判断错误导致案件整体重来，反而可能让复杂案件陷入程序空转。比较合适的做法，是把管辖错误分成不同层次处理。对于法律边界确实模糊、办案机关存在合理认识错误的案件，可以保留已经合法取得的客观证据，但应及时移送有管辖权机关；对于明知没有主要连接点仍强行立案、借指定管辖规避羁押条件、或者以控制涉案财物为主要目的的案件，就应当确认相关强制措施违法，并对由此取得的证据进行更严格审查。</w:t>
      </w:r>
    </w:p>
    <w:p>
      <w:pPr>
        <w:ind w:firstLineChars="200"/>
        <w:spacing w:after="120" w:line="360" w:lineRule="auto"/>
      </w:pPr>
      <w:r>
        <w:rPr>
          <w:rFonts w:eastAsia="宋体" w:ascii="Times New Roman" w:hAnsi="Times New Roman"/>
          <w:sz w:val="24"/>
          <w:szCs w:val="24"/>
        </w:rPr>
        <w:t xml:space="preserve">这套区分的关键不是为了宽纵办案机关，而是让程序后果和违法程度相匹配。刑事诉讼中的程序制裁如果过轻，无法约束权力；如果过重，又可能牺牲实体查明。管辖制度尤其如此。它不像非法证据排除那样只针对某一次取证行为，而是关系整个案件由谁启动。正因为影响范围更大，才更需要精细判断。我的看法是，法院在审查管辖异议时，应当把办案机关选择管辖地的理由写入裁判说理：如果认为异议不成立，应说明案件与本地的实质连接；如果认为异议成立，也应说明已经进行的程序哪些保留、哪些撤销。这样处理虽然会增加一些工作量，但比简单驳回或者全部推倒重来更符合刑事诉讼的现实。</w:t>
      </w:r>
    </w:p>
    <w:p>
      <w:pPr>
        <w:spacing w:after="120" w:line="360" w:lineRule="auto"/>
      </w:pPr>
      <w:r>
        <w:rPr>
          <w:b/>
          <w:bCs/>
          <w:rFonts w:eastAsia="宋体" w:ascii="Times New Roman" w:hAnsi="Times New Roman"/>
          <w:sz w:val="28"/>
          <w:szCs w:val="28"/>
        </w:rPr>
        <w:t xml:space="preserve">六、结论</w:t>
      </w:r>
    </w:p>
    <w:p>
      <w:pPr>
        <w:ind w:firstLineChars="200"/>
        <w:spacing w:after="120" w:line="360" w:lineRule="auto"/>
      </w:pPr>
      <w:r>
        <w:rPr>
          <w:rFonts w:eastAsia="宋体" w:ascii="Times New Roman" w:hAnsi="Times New Roman"/>
          <w:sz w:val="24"/>
          <w:szCs w:val="24"/>
        </w:rPr>
        <w:t xml:space="preserve">刑事指定管辖并不是一个可以简单肯定或否定的制度。它在唐山烧烤店打人案这类社会关注案件中，能够回应公众对地方办案公正性的担忧；在职务犯罪案件中，也能减少被调查人地方关系对案件处理的影响。但同一个制度也可能被滥用：侦查阶段的指定可能提前锁定后续诉讼路线，监察阶段的指定可能牵引刑事审判管辖，涉企案件中的弱连接点管辖则可能演化为趋利性执法。</w:t>
      </w:r>
    </w:p>
    <w:p>
      <w:pPr>
        <w:ind w:firstLineChars="200"/>
        <w:spacing w:after="120" w:line="360" w:lineRule="auto"/>
      </w:pPr>
      <w:r>
        <w:rPr>
          <w:rFonts w:eastAsia="宋体" w:ascii="Times New Roman" w:hAnsi="Times New Roman"/>
          <w:sz w:val="24"/>
          <w:szCs w:val="24"/>
        </w:rPr>
        <w:t xml:space="preserve">因此，本文的基本判断是：指定管辖要保留，但必须被程序化。所谓程序化，不是把制度写得更复杂，而是让指定管辖决定有理由、能被看见、可以被异议、能够被监督。具体而言，侦查指定管辖要接受检察监督，监察指定管辖不能当然预决刑事诉讼管辖，审判阶段要允许被告方提出实质性管辖异议。对于严重违反管辖规则的案件，还应当设置相应程序后果。</w:t>
      </w:r>
    </w:p>
    <w:p>
      <w:pPr>
        <w:ind w:firstLineChars="200"/>
        <w:spacing w:after="120" w:line="360" w:lineRule="auto"/>
      </w:pPr>
      <w:r>
        <w:rPr>
          <w:rFonts w:eastAsia="宋体" w:ascii="Times New Roman" w:hAnsi="Times New Roman"/>
          <w:sz w:val="24"/>
          <w:szCs w:val="24"/>
        </w:rPr>
        <w:t xml:space="preserve">管辖制度的价值，不在于让案件被更快地分出去，而在于让案件进入一个更正当的程序。指定管辖如果只是为了方便办案，它就会不断扩张；如果被理解为法定管辖失灵时的有限补救，它才能真正服务于刑事诉讼的公正。</w:t>
      </w:r>
    </w:p>
    <w:p>
      <w:pPr>
        <w:spacing w:after="120" w:line="360" w:lineRule="auto"/>
      </w:pPr>
      <w:r>
        <w:rPr>
          <w:b/>
          <w:bCs/>
          <w:rFonts w:eastAsia="宋体" w:ascii="Times New Roman" w:hAnsi="Times New Roman"/>
          <w:sz w:val="28"/>
          <w:szCs w:val="28"/>
        </w:rPr>
        <w:t xml:space="preserve">注释</w:t>
      </w:r>
    </w:p>
    <w:p>
      <w:pPr>
        <w:spacing w:after="120" w:line="360" w:lineRule="auto"/>
      </w:pPr>
      <w:r>
        <w:rPr>
          <w:rFonts w:eastAsia="宋体" w:ascii="Times New Roman" w:hAnsi="Times New Roman"/>
          <w:sz w:val="24"/>
          <w:szCs w:val="24"/>
        </w:rPr>
        <w:t xml:space="preserve">[1]: 张培铮：《论公安机关侦查指定管辖》，载《湖南警察学院学报》2022年第5期，第67—68页。</w:t>
      </w:r>
    </w:p>
    <w:p>
      <w:pPr>
        <w:spacing w:after="120" w:line="360" w:lineRule="auto"/>
      </w:pPr>
      <w:r>
        <w:rPr>
          <w:rFonts w:eastAsia="宋体" w:ascii="Times New Roman" w:hAnsi="Times New Roman"/>
          <w:sz w:val="24"/>
          <w:szCs w:val="24"/>
        </w:rPr>
        <w:t xml:space="preserve">[2]: 郭烁、吴子越：《从“工具导向”到“权利本位”：侦查指定管辖的性质校准》，载《人民检察》2024年第11期，第13—18页。</w:t>
      </w:r>
    </w:p>
    <w:p>
      <w:pPr>
        <w:spacing w:after="120" w:line="360" w:lineRule="auto"/>
      </w:pPr>
      <w:r>
        <w:rPr>
          <w:rFonts w:eastAsia="宋体" w:ascii="Times New Roman" w:hAnsi="Times New Roman"/>
          <w:sz w:val="24"/>
          <w:szCs w:val="24"/>
        </w:rPr>
        <w:t xml:space="preserve">[3]: 蔡元培：《刑事诉讼移送管辖的功能定位与完善路径》，载《中国刑事法杂志》2025年第1期，第89—106页。</w:t>
      </w:r>
    </w:p>
    <w:p>
      <w:pPr>
        <w:spacing w:after="120" w:line="360" w:lineRule="auto"/>
      </w:pPr>
      <w:r>
        <w:rPr>
          <w:rFonts w:eastAsia="宋体" w:ascii="Times New Roman" w:hAnsi="Times New Roman"/>
          <w:sz w:val="24"/>
          <w:szCs w:val="24"/>
        </w:rPr>
        <w:t xml:space="preserve">[4]: 卢少锋、秦景琦：《监察调查中指定管辖的问题检视及完善路径》，载《山东警察学院学报》2024年第5期，第52—60页。</w:t>
      </w:r>
    </w:p>
    <w:p>
      <w:pPr>
        <w:spacing w:after="120" w:line="360" w:lineRule="auto"/>
      </w:pPr>
      <w:r>
        <w:rPr>
          <w:rFonts w:eastAsia="宋体" w:ascii="Times New Roman" w:hAnsi="Times New Roman"/>
          <w:sz w:val="24"/>
          <w:szCs w:val="24"/>
        </w:rPr>
        <w:t xml:space="preserve">[5]: 陈修勇：《监检衔接视角下职务犯罪指定管辖的实践检讨及程序优化》，载《当代法学》2025年第6期，第115—117页。</w:t>
      </w:r>
    </w:p>
    <w:p>
      <w:pPr>
        <w:spacing w:after="120" w:line="360" w:lineRule="auto"/>
      </w:pPr>
      <w:r>
        <w:rPr>
          <w:rFonts w:eastAsia="宋体" w:ascii="Times New Roman" w:hAnsi="Times New Roman"/>
          <w:sz w:val="24"/>
          <w:szCs w:val="24"/>
        </w:rPr>
        <w:t xml:space="preserve">[6]: 徐昕：《论颠覆性程序辩护——以管辖异议的有效利用为例》，载《安徽师范大学学报（人文社会科学版）》2021年第6期，第98—100页。</w:t>
      </w:r>
    </w:p>
    <w:p>
      <w:pPr>
        <w:spacing w:after="120" w:line="360" w:lineRule="auto"/>
      </w:pPr>
      <w:r>
        <w:rPr>
          <w:rFonts w:eastAsia="宋体" w:ascii="Times New Roman" w:hAnsi="Times New Roman"/>
          <w:sz w:val="24"/>
          <w:szCs w:val="24"/>
        </w:rPr>
        <w:t xml:space="preserve">[7]: 周涛：《刑事审判管辖异议问题研究》，西南政法大学硕士学位论文，2021年，第3—6页。</w:t>
      </w:r>
    </w:p>
    <w:p>
      <w:pPr>
        <w:spacing w:after="120" w:line="360" w:lineRule="auto"/>
      </w:pPr>
      <w:r>
        <w:rPr>
          <w:rFonts w:eastAsia="宋体" w:ascii="Times New Roman" w:hAnsi="Times New Roman"/>
          <w:sz w:val="24"/>
          <w:szCs w:val="24"/>
        </w:rPr>
        <w:t xml:space="preserve">[8]: 蔡元培：《刑事诉讼移送管辖的功能定位与完善路径》，载《中国刑事法杂志》2025年第1期，第91—94页。</w:t>
      </w:r>
    </w:p>
    <w:p>
      <w:pPr>
        <w:spacing w:after="120" w:line="360" w:lineRule="auto"/>
      </w:pPr>
      <w:r>
        <w:rPr>
          <w:rFonts w:eastAsia="宋体" w:ascii="Times New Roman" w:hAnsi="Times New Roman"/>
          <w:sz w:val="24"/>
          <w:szCs w:val="24"/>
        </w:rPr>
        <w:t xml:space="preserve">[9]: 李昀遥：《刑事管辖权异议制度研究》，沈阳师范大学硕士学位论文，2024年，第28—34页。</w:t>
      </w:r>
    </w:p>
    <w:p>
      <w:pPr>
        <w:spacing w:after="120" w:line="360" w:lineRule="auto"/>
      </w:pPr>
      <w:r>
        <w:rPr>
          <w:rFonts w:eastAsia="宋体" w:ascii="Times New Roman" w:hAnsi="Times New Roman"/>
          <w:sz w:val="24"/>
          <w:szCs w:val="24"/>
        </w:rPr>
        <w:t xml:space="preserve">[10]: 谢小剑：《刑事诉讼法检同级对应地域管辖规则探究》，载《当代法学》2025年第2期。</w:t>
      </w:r>
    </w:p>
    <w:p>
      <w:pPr>
        <w:spacing w:after="120" w:line="360" w:lineRule="auto"/>
      </w:pPr>
      <w:r>
        <w:rPr>
          <w:rFonts w:eastAsia="宋体" w:ascii="Times New Roman" w:hAnsi="Times New Roman"/>
          <w:sz w:val="24"/>
          <w:szCs w:val="24"/>
        </w:rPr>
        <w:t xml:space="preserve">[11]: 参见周长军、韩晗：《职务犯罪监察调查指定管辖研究》，载《浙江工商大学学报》2023年第3期，第72—75页。该文明确梳理“审判管辖统一说”“维持现状说”“特殊审判管辖说”“异地法官当地审说”，并提出“一般回转当地诉审、例外时原地诉审”的混合型衔接模式。</w:t>
      </w:r>
    </w:p>
    <w:sectPr>
      <w:pgSz w:w="11906" w:h="16838"/>
      <w:pgMar w:top="1440" w:right="1440" w:bottom="1440" w:left="1440" w:header="720" w:footer="720" w:gutter="0"/>
      <w:cols w:space="425"/>
      <w:docGrid w:type="lines" w:linePitch="312"/>
    </w:sectPr>
  </w:body>
</w:document>
</file>

<file path=word/styles.xml><?xml version="1.0" encoding="utf-8"?>
<w:styles xmlns:w="http://schemas.openxmlformats.org/wordprocessingml/2006/main">
  <w:docDefaults>
    <w:rPrDefault>
      <w:rPr>
        <w:rFonts w:eastAsia="宋体" w:ascii="Times New Roman" w:hAnsi="Times New Roman"/>
        <w:sz w:val="24"/>
        <w:szCs w:val="24"/>
      </w:rPr>
    </w:rPrDefault>
    <w:pPrDefault>
      <w:pPr>
        <w:spacing w:line="360" w:lineRule="auto"/>
      </w:pPr>
    </w:pPrDefault>
  </w:docDefaults>
</w:styles>
</file>

<file path=word/_rels/document.xml.rels><?xml version="1.0" encoding="UTF-8" standalone="yes"?><Relationships xmlns="http://schemas.openxmlformats.org/package/2006/relationships"/>
</file>

<file path=docProps/app.xml><?xml version="1.0" encoding="utf-8"?>
<Properties xmlns="http://schemas.openxmlformats.org/officeDocument/2006/extended-properties">
  <Application>Cursor</Application>
</Properties>
</file>

<file path=docProps/core.xml><?xml version="1.0" encoding="utf-8"?>
<cp:coreProperties xmlns:cp="http://schemas.openxmlformats.org/package/2006/metadata/core-properties" xmlns:dc="http://purl.org/dc/elements/1.1/" xmlns:dcterms="http://purl.org/dc/terms/" xmlns:xsi="http://www.w3.org/2001/XMLSchema-instance">
  <dc:title>刑事指定管辖的程序控制研究</dc:title>
  <dc:creator>陈水桓</dc:creator>
  <cp:lastModifiedBy>陈水桓</cp:lastModifiedBy>
  <dcterms:created xsi:type="dcterms:W3CDTF">2026-05-24T16:37:21Z</dcterms:created>
  <dcterms:modified xsi:type="dcterms:W3CDTF">2026-05-24T16:37:21Z</dcterms:modified>
</cp:coreProperties>
</file>