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180" w:line="360" w:lineRule="auto"/>
      </w:pPr>
      <w:r>
        <w:rPr>
          <w:b/>
          <w:bCs/>
          <w:sz w:val="24"/>
          <w:szCs w:val="24"/>
          <w:rFonts w:eastAsia="宋体" w:ascii="Times New Roman" w:hAnsi="Times New Roman"/>
        </w:rPr>
        <w:t xml:space="preserve">《刑事诉讼法》课程论文</w:t>
      </w:r>
    </w:p>
    <w:p>
      <w:pPr>
        <w:jc w:val="center"/>
        <w:spacing w:after="180" w:line="360" w:lineRule="auto"/>
      </w:pPr>
      <w:r>
        <w:rPr>
          <w:b/>
          <w:bCs/>
          <w:sz w:val="26"/>
          <w:szCs w:val="26"/>
          <w:rFonts w:eastAsia="宋体" w:ascii="Times New Roman" w:hAnsi="Times New Roman"/>
        </w:rPr>
        <w:t xml:space="preserve">题目：刑事指定管辖的例外化回归与权利救济</w:t>
      </w:r>
    </w:p>
    <w:p>
      <w:pPr>
        <w:jc w:val="center"/>
        <w:spacing w:after="180" w:line="360" w:lineRule="auto"/>
      </w:pPr>
      <w:r>
        <w:rPr>
          <w:b/>
          <w:bCs/>
          <w:sz w:val="24"/>
          <w:szCs w:val="24"/>
          <w:rFonts w:eastAsia="宋体" w:ascii="Times New Roman" w:hAnsi="Times New Roman"/>
        </w:rPr>
        <w:t xml:space="preserve">副标题：以管辖权异议制度构建为中心</w:t>
      </w:r>
    </w:p>
    <w:p>
      <w:pPr>
        <w:jc w:val="center"/>
        <w:spacing w:after="180" w:line="360" w:lineRule="auto"/>
      </w:pPr>
      <w:r>
        <w:rPr>
          <w:b/>
          <w:bCs/>
          <w:sz w:val="24"/>
          <w:szCs w:val="24"/>
          <w:rFonts w:eastAsia="宋体" w:ascii="Times New Roman" w:hAnsi="Times New Roman"/>
        </w:rPr>
        <w:t xml:space="preserve">课程名称： 刑事诉讼法</w:t>
      </w:r>
    </w:p>
    <w:p>
      <w:pPr>
        <w:jc w:val="center"/>
        <w:spacing w:after="180" w:line="360" w:lineRule="auto"/>
      </w:pPr>
      <w:r>
        <w:rPr>
          <w:b/>
          <w:bCs/>
          <w:sz w:val="24"/>
          <w:szCs w:val="24"/>
          <w:rFonts w:eastAsia="宋体" w:ascii="Times New Roman" w:hAnsi="Times New Roman"/>
        </w:rPr>
        <w:t xml:space="preserve">班 级： 25法律（法学）</w:t>
      </w:r>
    </w:p>
    <w:p>
      <w:pPr>
        <w:jc w:val="center"/>
        <w:spacing w:after="180" w:line="360" w:lineRule="auto"/>
      </w:pPr>
      <w:r>
        <w:rPr>
          <w:b/>
          <w:bCs/>
          <w:sz w:val="24"/>
          <w:szCs w:val="24"/>
          <w:rFonts w:eastAsia="宋体" w:ascii="Times New Roman" w:hAnsi="Times New Roman"/>
        </w:rPr>
        <w:t xml:space="preserve">学 　 号： 25020070121</w:t>
      </w:r>
    </w:p>
    <w:p>
      <w:pPr>
        <w:jc w:val="center"/>
        <w:spacing w:after="180" w:line="360" w:lineRule="auto"/>
      </w:pPr>
      <w:r>
        <w:rPr>
          <w:b/>
          <w:bCs/>
          <w:sz w:val="24"/>
          <w:szCs w:val="24"/>
          <w:rFonts w:eastAsia="宋体" w:ascii="Times New Roman" w:hAnsi="Times New Roman"/>
        </w:rPr>
        <w:t xml:space="preserve">学生姓名： 陈水桓</w:t>
      </w:r>
    </w:p>
    <w:p>
      <w:pPr>
        <w:jc w:val="center"/>
        <w:spacing w:after="180" w:line="360" w:lineRule="auto"/>
      </w:pPr>
      <w:r>
        <w:rPr>
          <w:b/>
          <w:bCs/>
          <w:sz w:val="24"/>
          <w:szCs w:val="24"/>
          <w:rFonts w:eastAsia="宋体" w:ascii="Times New Roman" w:hAnsi="Times New Roman"/>
        </w:rPr>
        <w:t xml:space="preserve">二0二六年五月</w:t>
      </w:r>
    </w:p>
    <w:p>
      <w:pPr>
        <w:spacing w:after="120" w:line="360" w:lineRule="auto"/>
      </w:pPr>
      <w:r>
        <w:br w:type="page"/>
      </w:r>
    </w:p>
    <w:p>
      <w:pPr>
        <w:jc w:val="center"/>
        <w:spacing w:after="240" w:line="360" w:lineRule="auto"/>
      </w:pPr>
      <w:r>
        <w:rPr>
          <w:b/>
          <w:bCs/>
          <w:sz w:val="32"/>
          <w:szCs w:val="32"/>
          <w:rFonts w:eastAsia="宋体" w:ascii="Times New Roman" w:hAnsi="Times New Roman"/>
        </w:rPr>
        <w:t xml:space="preserve">刑事指定管辖的例外化回归与权利救济</w:t>
      </w:r>
    </w:p>
    <w:p>
      <w:pPr>
        <w:spacing w:after="160" w:line="360" w:lineRule="auto"/>
      </w:pPr>
      <w:r>
        <w:rPr>
          <w:b/>
          <w:bCs/>
          <w:sz w:val="28"/>
          <w:szCs w:val="28"/>
          <w:rFonts w:eastAsia="宋体" w:ascii="Times New Roman" w:hAnsi="Times New Roman"/>
        </w:rPr>
        <w:t xml:space="preserve">摘要</w:t>
      </w:r>
    </w:p>
    <w:p>
      <w:pPr>
        <w:ind w:firstLineChars="200"/>
        <w:spacing w:after="120" w:line="360" w:lineRule="auto"/>
      </w:pPr>
      <w:r>
        <w:rPr>
          <w:sz w:val="24"/>
          <w:szCs w:val="24"/>
          <w:rFonts w:eastAsia="宋体" w:ascii="Times New Roman" w:hAnsi="Times New Roman"/>
        </w:rPr>
        <w:t xml:space="preserve">刑事管辖是刑事诉讼启动和运行的前提，也是程序法定、法定法官和被追诉人权利保障的重要承载。现行刑事诉讼规范对审判管辖规定相对集中，而对侦查管辖、审查起诉管辖、监察调查与刑事诉讼管辖衔接以及管辖权异议等问题规定不足，导致指定管辖在实践中容易从法定管辖的例外补充转化为便利侦查、排除干扰、分配办案资源乃至处理地方利益的工具。指定管辖并非当然不正当，在重大复杂案件、地方保护主义明显、办案机关整体回避、职务犯罪异地调查等场景中，其具有维护公正、整合资源和提高效率的现实功能。但是，如果缺少明确的法定事由、书面说理、当事人参与、检察监督和法院最终审查，指定管辖就可能产生侦查或监察阶段预决起诉审判管辖、被追诉人辩护成本增加、证人出庭困难、程序安定性受损等问题。刑事诉讼法未来修改应当坚持“法定管辖为原则、指定管辖为例外”，以程序法定原则、最密切联系原则和权利救济原则为基础，细化指定管辖适用条件，完善移送管辖和指定管辖的衔接，建立覆盖侦查、审查起诉、审判以及监察调查衔接阶段的管辖权异议制度，使管辖决定从机关内部协调事项转化为可参与、可审查、可救济的诉讼程序。</w:t>
      </w:r>
    </w:p>
    <w:p>
      <w:pPr>
        <w:spacing w:after="120" w:line="360" w:lineRule="auto"/>
      </w:pPr>
      <w:r>
        <w:rPr>
          <w:sz w:val="24"/>
          <w:szCs w:val="24"/>
          <w:rFonts w:eastAsia="宋体" w:ascii="Times New Roman" w:hAnsi="Times New Roman"/>
        </w:rPr>
        <w:t xml:space="preserve">关键词：刑事指定管辖；法定法官原则；管辖权异议；监察调查；程序法定</w:t>
      </w:r>
    </w:p>
    <w:p>
      <w:pPr>
        <w:spacing w:after="160" w:line="360" w:lineRule="auto"/>
      </w:pPr>
      <w:r>
        <w:rPr>
          <w:b/>
          <w:bCs/>
          <w:sz w:val="28"/>
          <w:szCs w:val="28"/>
          <w:rFonts w:eastAsia="宋体" w:ascii="Times New Roman" w:hAnsi="Times New Roman"/>
        </w:rPr>
        <w:t xml:space="preserve">引言</w:t>
      </w:r>
    </w:p>
    <w:p>
      <w:pPr>
        <w:ind w:firstLineChars="200"/>
        <w:spacing w:after="120" w:line="360" w:lineRule="auto"/>
      </w:pPr>
      <w:r>
        <w:rPr>
          <w:sz w:val="24"/>
          <w:szCs w:val="24"/>
          <w:rFonts w:eastAsia="宋体" w:ascii="Times New Roman" w:hAnsi="Times New Roman"/>
        </w:rPr>
        <w:t xml:space="preserve">在刑事诉讼中，管辖看似只是“案件由哪个机关办理”的技术问题，但实际上决定了案件从立案、侦查、审查起诉到审判的基本场域。由谁侦查，往往影响强制措施的适用和证据取得方式；由谁起诉，影响审查起诉标准和庭审准备；由谁审判，更直接关系到裁判中立、诉讼便利和被告人的辩护条件。因此，管辖制度不是中性的内部行政分工，而是刑事诉讼权力配置和权利保障的起点。</w:t>
      </w:r>
    </w:p>
    <w:p>
      <w:pPr>
        <w:ind w:firstLineChars="200"/>
        <w:spacing w:after="120" w:line="360" w:lineRule="auto"/>
      </w:pPr>
      <w:r>
        <w:rPr>
          <w:sz w:val="24"/>
          <w:szCs w:val="24"/>
          <w:rFonts w:eastAsia="宋体" w:ascii="Times New Roman" w:hAnsi="Times New Roman"/>
        </w:rPr>
        <w:t xml:space="preserve">从所阅读的二十八篇刑事诉讼法文献看，学界近年来对刑事管辖制度的讨论集中在几个问题上：第一，指定管辖、集中管辖、并案管辖和移送管辖等例外性机制不断扩张，冲击了普通法定管辖的稳定性；第二，侦查指定管辖、监察调查指定管辖常常对后续审查起诉和审判形成事实上的预决效力，与“以审判为中心”的改革目标存在张力；第三，被追诉人及其辩护人虽然在实践中经常提出管辖异议，但刑事诉讼法尚未将其明确塑造为一项程序性权利；第四，检察监督、法院审查、程序性制裁等配套机制不足，使管辖违法难以及时纠正。为避免参考文献堆砌，本文并不机械列举全部阅读材料，而是选取与论题关系最密切、能够支撑主要论证的代表性文献加以引用。</w:t>
      </w:r>
    </w:p>
    <w:p>
      <w:pPr>
        <w:ind w:firstLineChars="200"/>
        <w:spacing w:after="120" w:line="360" w:lineRule="auto"/>
      </w:pPr>
      <w:r>
        <w:rPr>
          <w:sz w:val="24"/>
          <w:szCs w:val="24"/>
          <w:rFonts w:eastAsia="宋体" w:ascii="Times New Roman" w:hAnsi="Times New Roman"/>
        </w:rPr>
        <w:t xml:space="preserve">本文选择“刑事指定管辖的例外化回归与权利救济”作为题目，是因为指定管辖最能集中呈现我国刑事管辖制度的双重面向。一方面，它具有解决管辖争议、排除地方干扰、优化办案资源的功能；另一方面，它又最容易因条件模糊和程序封闭而转化为“人定管辖”。如果仅从效率角度理解指定管辖，就会忽视其对法定法官原则和被追诉人权利的影响；如果完全否定指定管辖，又无法回应跨地域犯罪、重大职务犯罪、网络犯罪和地方整体回避等现实需要。更合理的思路，应当是在承认指定管辖必要性的前提下，将其重新纳入程序法定和权利救济的框架中。</w:t>
      </w:r>
    </w:p>
    <w:p>
      <w:pPr>
        <w:spacing w:after="160" w:line="360" w:lineRule="auto"/>
      </w:pPr>
      <w:r>
        <w:rPr>
          <w:b/>
          <w:bCs/>
          <w:sz w:val="28"/>
          <w:szCs w:val="28"/>
          <w:rFonts w:eastAsia="宋体" w:ascii="Times New Roman" w:hAnsi="Times New Roman"/>
        </w:rPr>
        <w:t xml:space="preserve">一、刑事指定管辖的制度定位：法定管辖的例外补充</w:t>
      </w:r>
    </w:p>
    <w:p>
      <w:pPr>
        <w:spacing w:after="120" w:line="360" w:lineRule="auto"/>
      </w:pPr>
      <w:r>
        <w:rPr>
          <w:b/>
          <w:bCs/>
          <w:sz w:val="26"/>
          <w:szCs w:val="26"/>
          <w:rFonts w:eastAsia="宋体" w:ascii="Times New Roman" w:hAnsi="Times New Roman"/>
        </w:rPr>
        <w:t xml:space="preserve">（一）刑事管辖的价值并不限于案件分配</w:t>
      </w:r>
    </w:p>
    <w:p>
      <w:pPr>
        <w:ind w:firstLineChars="200"/>
        <w:spacing w:after="120" w:line="360" w:lineRule="auto"/>
      </w:pPr>
      <w:r>
        <w:rPr>
          <w:sz w:val="24"/>
          <w:szCs w:val="24"/>
          <w:rFonts w:eastAsia="宋体" w:ascii="Times New Roman" w:hAnsi="Times New Roman"/>
        </w:rPr>
        <w:t xml:space="preserve">传统教材中，管辖通常被放在刑事诉讼程序开始之前加以说明，重点在于解决职能管辖、级别管辖、地域管辖和专门管辖等问题。这种讲法有助于把握制度结构，但容易弱化管辖的权利属性。熊秋红、余鹏文关于刑事诉讼管辖体系的研究指出，刑事管辖应当以审判管辖为坐标，形成普通管辖为主、专门管辖为辅，法定管辖为主、裁定管辖为辅的格局。[1] 郭烁进一步从法定法官原则出发，强调管辖制度的核心不只是提高办案效率，而是保证管辖的预先确定性和可救济性。[2]</w:t>
      </w:r>
    </w:p>
    <w:p>
      <w:pPr>
        <w:ind w:firstLineChars="200"/>
        <w:spacing w:after="120" w:line="360" w:lineRule="auto"/>
      </w:pPr>
      <w:r>
        <w:rPr>
          <w:sz w:val="24"/>
          <w:szCs w:val="24"/>
          <w:rFonts w:eastAsia="宋体" w:ascii="Times New Roman" w:hAnsi="Times New Roman"/>
        </w:rPr>
        <w:t xml:space="preserve">所谓预先确定性，是指案件发生以后不能由公权力机关为了特定个案任意选择办案机关或审判机关。管辖规则越模糊，个案中的人为选择空间就越大，被追诉人越容易怀疑案件被“挑选”到某个更有利于追诉的地方。所谓可救济性，是指当管辖错误或管辖不适宜时，当事人应当有机会提出异议，并由相对中立的机关作出有理由的处理。没有救济的管辖规则，即使写在法律中，也可能在实践中沦为空洞宣示。</w:t>
      </w:r>
    </w:p>
    <w:p>
      <w:pPr>
        <w:ind w:firstLineChars="200"/>
        <w:spacing w:after="120" w:line="360" w:lineRule="auto"/>
      </w:pPr>
      <w:r>
        <w:rPr>
          <w:sz w:val="24"/>
          <w:szCs w:val="24"/>
          <w:rFonts w:eastAsia="宋体" w:ascii="Times New Roman" w:hAnsi="Times New Roman"/>
        </w:rPr>
        <w:t xml:space="preserve">因此，刑事管辖至少具有三重价值：第一，分配国家刑事司法权，避免机关之间推诿或争抢；第二，保障裁判和办案主体的中立性，防止地方保护、地方逐利或行政干预；第三，保护被追诉人和其他诉讼参与人的程序利益，包括会见、阅卷、举证、证人出庭、亲属旁听以及辩护成本等。指定管辖的正当性，也应当在这三重价值之间寻找平衡。</w:t>
      </w:r>
    </w:p>
    <w:p>
      <w:pPr>
        <w:spacing w:after="120" w:line="360" w:lineRule="auto"/>
      </w:pPr>
      <w:r>
        <w:rPr>
          <w:b/>
          <w:bCs/>
          <w:sz w:val="26"/>
          <w:szCs w:val="26"/>
          <w:rFonts w:eastAsia="宋体" w:ascii="Times New Roman" w:hAnsi="Times New Roman"/>
        </w:rPr>
        <w:t xml:space="preserve">（二）指定管辖的正当功能</w:t>
      </w:r>
    </w:p>
    <w:p>
      <w:pPr>
        <w:ind w:firstLineChars="200"/>
        <w:spacing w:after="120" w:line="360" w:lineRule="auto"/>
      </w:pPr>
      <w:r>
        <w:rPr>
          <w:sz w:val="24"/>
          <w:szCs w:val="24"/>
          <w:rFonts w:eastAsia="宋体" w:ascii="Times New Roman" w:hAnsi="Times New Roman"/>
        </w:rPr>
        <w:t xml:space="preserve">指定管辖之所以被刑事诉讼制度接受，根本原因在于法定管辖不可能解决所有个案问题。法定管辖强调稳定、抽象和一般，但刑事案件常常具有复杂性。比如，几个地方都与犯罪行为或犯罪结果有关，单纯依靠“最初受理”可能导致案件脱离主要犯罪地；某地办案机关与案件存在整体利害关系，继续办理会影响公正；重大职务犯罪案件中，被调查人在当地具有较强影响力，原地调查和审判可能受到干扰；网络犯罪、电信诈骗、毒品犯罪等跨区域案件，也可能需要集中资源办理。</w:t>
      </w:r>
    </w:p>
    <w:p>
      <w:pPr>
        <w:ind w:firstLineChars="200"/>
        <w:spacing w:after="120" w:line="360" w:lineRule="auto"/>
      </w:pPr>
      <w:r>
        <w:rPr>
          <w:sz w:val="24"/>
          <w:szCs w:val="24"/>
          <w:rFonts w:eastAsia="宋体" w:ascii="Times New Roman" w:hAnsi="Times New Roman"/>
        </w:rPr>
        <w:t xml:space="preserve">相关文献普遍承认，指定管辖作为法定管辖的补充，在排除地方干扰、实现办案机关整体回避、整合司法资源等方面有现实必要。张培铮对公安机关侦查指定管辖的研究说明，在管辖权竞合、限期破案压力和社会舆论压力共同作用下，侦查机关确有通过上级指定来明确管辖的需求。[5] 监察调查领域的研究同样指出，重大职务犯罪案件中适用指定管辖，有助于维护被调查人的审级利益、调配办案力量并防止地方关系网影响案件处理。[6][7]</w:t>
      </w:r>
    </w:p>
    <w:p>
      <w:pPr>
        <w:ind w:firstLineChars="200"/>
        <w:spacing w:after="120" w:line="360" w:lineRule="auto"/>
      </w:pPr>
      <w:r>
        <w:rPr>
          <w:sz w:val="24"/>
          <w:szCs w:val="24"/>
          <w:rFonts w:eastAsia="宋体" w:ascii="Times New Roman" w:hAnsi="Times New Roman"/>
        </w:rPr>
        <w:t xml:space="preserve">问题不在于是否可以指定管辖，而在于指定管辖应当以何种姿态存在。如果指定管辖只是法定管辖不能充分发挥作用时的例外补充，它就具有正当性；如果指定管辖成为常规办案路径，甚至成为机关选择案件、绑定后续程序或追求办案收益的工具，它就会背离自身的制度目的。</w:t>
      </w:r>
    </w:p>
    <w:p>
      <w:pPr>
        <w:spacing w:after="120" w:line="360" w:lineRule="auto"/>
      </w:pPr>
      <w:r>
        <w:rPr>
          <w:b/>
          <w:bCs/>
          <w:sz w:val="26"/>
          <w:szCs w:val="26"/>
          <w:rFonts w:eastAsia="宋体" w:ascii="Times New Roman" w:hAnsi="Times New Roman"/>
        </w:rPr>
        <w:t xml:space="preserve">（三）“例外反客为主”的风险</w:t>
      </w:r>
    </w:p>
    <w:p>
      <w:pPr>
        <w:ind w:firstLineChars="200"/>
        <w:spacing w:after="120" w:line="360" w:lineRule="auto"/>
      </w:pPr>
      <w:r>
        <w:rPr>
          <w:sz w:val="24"/>
          <w:szCs w:val="24"/>
          <w:rFonts w:eastAsia="宋体" w:ascii="Times New Roman" w:hAnsi="Times New Roman"/>
        </w:rPr>
        <w:t xml:space="preserve">多篇文献共同指出，当前刑事指定管辖的主要风险是例外机制常态化。侦查阶段，郭烁、吴子越将侦查指定管辖概括为从“工具导向”向“权利本位”转型的问题，认为现有制度存在适用条件不明确、适用次数无限制和监督制约机制缺失等现象。[3] 在涉企经济犯罪中，蔡元培特别注意到“远洋捕捞”式趋利性执法，其背后既有罚没收入和考核因素，也有管辖连接点过度扩张、移送管辖失灵等制度原因。[4]</w:t>
      </w:r>
    </w:p>
    <w:p>
      <w:pPr>
        <w:ind w:firstLineChars="200"/>
        <w:spacing w:after="120" w:line="360" w:lineRule="auto"/>
      </w:pPr>
      <w:r>
        <w:rPr>
          <w:sz w:val="24"/>
          <w:szCs w:val="24"/>
          <w:rFonts w:eastAsia="宋体" w:ascii="Times New Roman" w:hAnsi="Times New Roman"/>
        </w:rPr>
        <w:t xml:space="preserve">监察领域的问题更为典型。卢少锋、秦景琦统计的样本显示，在47份具有监察机关指定管辖情形的职务犯罪判决书中，有41份由被指定的监察机关移送本地同级检察机关，占87%。[6] 陈修勇关于2018年至2023年最高检通报样本的研究也表明，职务犯罪案件中指定管辖已经高度普遍。[8] 这说明监察调查指定管辖并不只是决定“由哪个监察机关调查”，而是在相当程度上影响“由哪个检察院起诉、由哪个法院审判”。当监察管辖以干部管理权限为核心，而刑事诉讼级别管辖以案件性质和可能刑罚为核心时，二者如果缺少衔接规则，就会出现“大官小案”被不必要地提到较高级别机关处理，或者“小官大案”没有及时进入应有级别程序的问题。</w:t>
      </w:r>
    </w:p>
    <w:p>
      <w:pPr>
        <w:ind w:firstLineChars="200"/>
        <w:spacing w:after="120" w:line="360" w:lineRule="auto"/>
      </w:pPr>
      <w:r>
        <w:rPr>
          <w:sz w:val="24"/>
          <w:szCs w:val="24"/>
          <w:rFonts w:eastAsia="宋体" w:ascii="Times New Roman" w:hAnsi="Times New Roman"/>
        </w:rPr>
        <w:t xml:space="preserve">可见，指定管辖的风险并不只在于“换了一个地方办案”，而在于它可能改变刑事诉讼的权力结构。侦查或监察阶段一旦通过指定形成既成事实，后续检察机关和法院往往出于配合、效率或惯性而接受该结果。这样一来，刑事诉讼文本上以审判管辖为中心，实践中却可能变成侦查或监察管辖牵引审判管辖。</w:t>
      </w:r>
    </w:p>
    <w:p>
      <w:pPr>
        <w:spacing w:after="160" w:line="360" w:lineRule="auto"/>
      </w:pPr>
      <w:r>
        <w:rPr>
          <w:b/>
          <w:bCs/>
          <w:sz w:val="28"/>
          <w:szCs w:val="28"/>
          <w:rFonts w:eastAsia="宋体" w:ascii="Times New Roman" w:hAnsi="Times New Roman"/>
        </w:rPr>
        <w:t xml:space="preserve">二、刑事指定管辖运行中的主要问题</w:t>
      </w:r>
    </w:p>
    <w:p>
      <w:pPr>
        <w:spacing w:after="120" w:line="360" w:lineRule="auto"/>
      </w:pPr>
      <w:r>
        <w:rPr>
          <w:b/>
          <w:bCs/>
          <w:sz w:val="26"/>
          <w:szCs w:val="26"/>
          <w:rFonts w:eastAsia="宋体" w:ascii="Times New Roman" w:hAnsi="Times New Roman"/>
        </w:rPr>
        <w:t xml:space="preserve">（一）规范依据位阶较低，适用条件过于原则</w:t>
      </w:r>
    </w:p>
    <w:p>
      <w:pPr>
        <w:ind w:firstLineChars="200"/>
        <w:spacing w:after="120" w:line="360" w:lineRule="auto"/>
      </w:pPr>
      <w:r>
        <w:rPr>
          <w:sz w:val="24"/>
          <w:szCs w:val="24"/>
          <w:rFonts w:eastAsia="宋体" w:ascii="Times New Roman" w:hAnsi="Times New Roman"/>
        </w:rPr>
        <w:t xml:space="preserve">目前刑事诉讼法对指定管辖的直接规定主要集中在审判阶段，而大量侦查指定管辖、审查起诉管辖衔接、监察调查指定管辖等问题，则分散规定在部门规章、司法解释、监察法规和规范性文件中。规范层级越低，越容易出现制度创设与基本法律脱节的问题。张培铮指出，公安机关侦查指定管辖主要依赖《公安机关办理刑事案件程序规定》等文件，存在上位法依据不足、授权条款性质不清和与立案、逮捕、起诉衔接不畅等问题。[5]</w:t>
      </w:r>
    </w:p>
    <w:p>
      <w:pPr>
        <w:ind w:firstLineChars="200"/>
        <w:spacing w:after="120" w:line="360" w:lineRule="auto"/>
      </w:pPr>
      <w:r>
        <w:rPr>
          <w:sz w:val="24"/>
          <w:szCs w:val="24"/>
          <w:rFonts w:eastAsia="宋体" w:ascii="Times New Roman" w:hAnsi="Times New Roman"/>
        </w:rPr>
        <w:t xml:space="preserve">适用条件模糊是另一突出问题。实践中常见的表述包括“管辖不明”“有争议”“情况特殊”“更为适宜”“有必要”等。这些概念有保留弹性的必要，但如果没有列举式事由、限制性解释和书面说理，就很难防止自由裁量扩大。比如，何谓“特殊原因”？是地方保护、机关整体回避，还是社会舆论、办案便利、领导重视？如果特殊原因可以不断扩张，指定管辖就可能架空回避制度和法定管辖秩序。</w:t>
      </w:r>
    </w:p>
    <w:p>
      <w:pPr>
        <w:ind w:firstLineChars="200"/>
        <w:spacing w:after="120" w:line="360" w:lineRule="auto"/>
      </w:pPr>
      <w:r>
        <w:rPr>
          <w:sz w:val="24"/>
          <w:szCs w:val="24"/>
          <w:rFonts w:eastAsia="宋体" w:ascii="Times New Roman" w:hAnsi="Times New Roman"/>
        </w:rPr>
        <w:t xml:space="preserve">指定管辖的决定主体、决定时间、指定次数和文书形式也不够明确。郭烁、吴子越提到，侦查指定管辖适用次数无限制，可能与指定居所监视居住等强制措施结合，造成对犯罪嫌疑人人身自由的不当限制。[3] 卢少锋、秦景琦也主张监察指定管辖应以一次为原则，并以决定书形式送达、通知被调查人。[6] 这些建议背后，都是对程序安定性的重视。</w:t>
      </w:r>
    </w:p>
    <w:p>
      <w:pPr>
        <w:spacing w:after="120" w:line="360" w:lineRule="auto"/>
      </w:pPr>
      <w:r>
        <w:rPr>
          <w:b/>
          <w:bCs/>
          <w:sz w:val="26"/>
          <w:szCs w:val="26"/>
          <w:rFonts w:eastAsia="宋体" w:ascii="Times New Roman" w:hAnsi="Times New Roman"/>
        </w:rPr>
        <w:t xml:space="preserve">（二）侦查指定管辖容易预决审查起诉和审判管辖</w:t>
      </w:r>
    </w:p>
    <w:p>
      <w:pPr>
        <w:ind w:firstLineChars="200"/>
        <w:spacing w:after="120" w:line="360" w:lineRule="auto"/>
      </w:pPr>
      <w:r>
        <w:rPr>
          <w:sz w:val="24"/>
          <w:szCs w:val="24"/>
          <w:rFonts w:eastAsia="宋体" w:ascii="Times New Roman" w:hAnsi="Times New Roman"/>
        </w:rPr>
        <w:t xml:space="preserve">刑事诉讼法强调公检法分工负责、互相配合、互相制约。理论上，侦查管辖、审查起诉管辖和审判管辖各有判断标准，前一阶段不应当然决定后一阶段。但是，实践中的程序惯性很强。侦查机关一旦指定某地公安机关办理，案件材料、犯罪嫌疑人、涉案财物和强制措施都集中在该地，后续检察机关和法院再改变管辖的成本很高。于是，侦查指定管辖常常具有事实上的预决效力。</w:t>
      </w:r>
    </w:p>
    <w:p>
      <w:pPr>
        <w:ind w:firstLineChars="200"/>
        <w:spacing w:after="120" w:line="360" w:lineRule="auto"/>
      </w:pPr>
      <w:r>
        <w:rPr>
          <w:sz w:val="24"/>
          <w:szCs w:val="24"/>
          <w:rFonts w:eastAsia="宋体" w:ascii="Times New Roman" w:hAnsi="Times New Roman"/>
        </w:rPr>
        <w:t xml:space="preserve">谢小剑关于“法检同级对应地域管辖规则”的研究具有重要启发。他认为，审查起诉虽然缺少明确的地域管辖规定，但体系上应当以审判地域管辖决定起诉地域管辖，而不能简单由侦查管辖决定审查起诉和审判管辖。[9] 这一观点能够纠正“侦查先行即侦查决定一切”的倾向。并案侦查虽然为了打击跨区域犯罪具有便利性，但如果关联范围无限扩大，同样会与审判管辖发生冲突，因此也应限制侦查并案对后续审判管辖的牵引。</w:t>
      </w:r>
    </w:p>
    <w:p>
      <w:pPr>
        <w:ind w:firstLineChars="200"/>
        <w:spacing w:after="120" w:line="360" w:lineRule="auto"/>
      </w:pPr>
      <w:r>
        <w:rPr>
          <w:sz w:val="24"/>
          <w:szCs w:val="24"/>
          <w:rFonts w:eastAsia="宋体" w:ascii="Times New Roman" w:hAnsi="Times New Roman"/>
        </w:rPr>
        <w:t xml:space="preserve">侦查指定管辖预决后续程序，表面上提高了效率，实质上削弱了审判阶段对管辖的独立判断。特别是在经济犯罪和网络犯罪中，犯罪地、结果地、服务器所在地、被害人所在地、资金流转地等连接点众多，如果任何微弱连接点都可以支持管辖，就容易形成“谁先立案谁管辖”“谁控制财物谁管辖”的局面。蔡元培将移送管辖制度失灵视为“远洋捕捞”的首要制度原因，正是因为当初始管辖错误或不适宜时，现有制度缺少有效的自我纠正机制。[4]</w:t>
      </w:r>
    </w:p>
    <w:p>
      <w:pPr>
        <w:spacing w:after="120" w:line="360" w:lineRule="auto"/>
      </w:pPr>
      <w:r>
        <w:rPr>
          <w:b/>
          <w:bCs/>
          <w:sz w:val="26"/>
          <w:szCs w:val="26"/>
          <w:rFonts w:eastAsia="宋体" w:ascii="Times New Roman" w:hAnsi="Times New Roman"/>
        </w:rPr>
        <w:t xml:space="preserve">（三）监察调查指定管辖与刑事诉讼管辖衔接不畅</w:t>
      </w:r>
    </w:p>
    <w:p>
      <w:pPr>
        <w:ind w:firstLineChars="200"/>
        <w:spacing w:after="120" w:line="360" w:lineRule="auto"/>
      </w:pPr>
      <w:r>
        <w:rPr>
          <w:sz w:val="24"/>
          <w:szCs w:val="24"/>
          <w:rFonts w:eastAsia="宋体" w:ascii="Times New Roman" w:hAnsi="Times New Roman"/>
        </w:rPr>
        <w:t xml:space="preserve">监察体制改革后，职务犯罪案件通常先经监察机关调查，再移送检察机关审查起诉。监察管辖与刑事诉讼管辖的逻辑并不完全一致。监察管辖更重视干部管理权限，具有“以人为主”的特征；刑事诉讼管辖则更多根据案件性质、犯罪地、可能刑罚和审级利益来安排，具有“以事为主”和审判中心的特点。卫跃宁、卢少锋等均指出，两种管辖逻辑之间存在天然张力。[6][7]</w:t>
      </w:r>
    </w:p>
    <w:p>
      <w:pPr>
        <w:ind w:firstLineChars="200"/>
        <w:spacing w:after="120" w:line="360" w:lineRule="auto"/>
      </w:pPr>
      <w:r>
        <w:rPr>
          <w:sz w:val="24"/>
          <w:szCs w:val="24"/>
          <w:rFonts w:eastAsia="宋体" w:ascii="Times New Roman" w:hAnsi="Times New Roman"/>
        </w:rPr>
        <w:t xml:space="preserve">这种张力在指定管辖中尤其明显。对于省部级、厅局级干部职务犯罪案件，监察机关为了排除地方干扰，常将案件指定异地或下级监察机关办理。此举有其现实合理性，但如果调查终结后当然移送被指定监察机关所在地同级检察院，再由同级法院审判，就会让监察调查管辖牵引刑事诉讼管辖。陈修勇从监检衔接角度提出，应构建以审判管辖为中心的协商管辖程序，避免单指定和双指定模式各自带来的级别错位和预决效应。[8]</w:t>
      </w:r>
    </w:p>
    <w:p>
      <w:pPr>
        <w:ind w:firstLineChars="200"/>
        <w:spacing w:after="120" w:line="360" w:lineRule="auto"/>
      </w:pPr>
      <w:r>
        <w:rPr>
          <w:sz w:val="24"/>
          <w:szCs w:val="24"/>
          <w:rFonts w:eastAsia="宋体" w:ascii="Times New Roman" w:hAnsi="Times New Roman"/>
        </w:rPr>
        <w:t xml:space="preserve">笔者认为，监察指定管辖的正当性主要存在于调查阶段，不能自动延伸为审查起诉和审判阶段的正当性。调查阶段为了排除干扰，可以选择异地监察机关；但进入刑事诉讼以后，仍应回到刑事诉讼法的级别管辖和地域管辖规则。对于“大官小案”，如果案件本身依法应由基层法院管辖，不能仅因被调查人的级别而当然由较高级别法院审判；对于“小官大案”，如果可能判处无期徒刑以上刑罚，也不能因调查机关级别较低而停留在基层程序。只有把监察调查的效率逻辑和刑事诉讼的审判逻辑区分开来，才能避免监刑衔接中的管辖错位。</w:t>
      </w:r>
    </w:p>
    <w:p>
      <w:pPr>
        <w:spacing w:after="120" w:line="360" w:lineRule="auto"/>
      </w:pPr>
      <w:r>
        <w:rPr>
          <w:b/>
          <w:bCs/>
          <w:sz w:val="26"/>
          <w:szCs w:val="26"/>
          <w:rFonts w:eastAsia="宋体" w:ascii="Times New Roman" w:hAnsi="Times New Roman"/>
        </w:rPr>
        <w:t xml:space="preserve">（四）被追诉人的管辖救济不足</w:t>
      </w:r>
    </w:p>
    <w:p>
      <w:pPr>
        <w:ind w:firstLineChars="200"/>
        <w:spacing w:after="120" w:line="360" w:lineRule="auto"/>
      </w:pPr>
      <w:r>
        <w:rPr>
          <w:sz w:val="24"/>
          <w:szCs w:val="24"/>
          <w:rFonts w:eastAsia="宋体" w:ascii="Times New Roman" w:hAnsi="Times New Roman"/>
        </w:rPr>
        <w:t xml:space="preserve">刑事管辖直接影响被追诉人的诉讼处境，但我国刑事诉讼法尚未像民事诉讼法、行政诉讼法那样明确规定管辖权异议制度。周涛认为，刑事审判管辖异议本质上是基于辩护权产生的诉讼请求，应当赋予被告人、法定代理人和辩护人提出管辖异议的权利。[10] 李昀遥进一步主张，刑事管辖权异议不应限于审判阶段，而应覆盖立案、侦查、审查起诉和审判全过程。[11] 实务中以“情况说明”替代正式指定管辖决定书、未经协商即扩大管辖等现象，也说明管辖异议制度具有现实必要性。</w:t>
      </w:r>
    </w:p>
    <w:p>
      <w:pPr>
        <w:ind w:firstLineChars="200"/>
        <w:spacing w:after="120" w:line="360" w:lineRule="auto"/>
      </w:pPr>
      <w:r>
        <w:rPr>
          <w:sz w:val="24"/>
          <w:szCs w:val="24"/>
          <w:rFonts w:eastAsia="宋体" w:ascii="Times New Roman" w:hAnsi="Times New Roman"/>
        </w:rPr>
        <w:t xml:space="preserve">管辖异议并不是为了拖延诉讼，而是对程序入口合法性的审查。徐昕提出“颠覆性程序辩护”概念，认为管辖异议在特定情况下能够改变案件进程，具有维护程序正义的重要意义。[12] 如果被告人认为办案机关或审判机关与案件缺乏法定连接，或者当地整体环境足以影响公正，却没有正式渠道提出异议，那么管辖制度就只剩下机关内部的安排，而无法体现诉讼主体的参与。</w:t>
      </w:r>
    </w:p>
    <w:p>
      <w:pPr>
        <w:ind w:firstLineChars="200"/>
        <w:spacing w:after="120" w:line="360" w:lineRule="auto"/>
      </w:pPr>
      <w:r>
        <w:rPr>
          <w:sz w:val="24"/>
          <w:szCs w:val="24"/>
          <w:rFonts w:eastAsia="宋体" w:ascii="Times New Roman" w:hAnsi="Times New Roman"/>
        </w:rPr>
        <w:t xml:space="preserve">现有庭前会议制度虽然可以听取控辩双方对管辖问题的意见，但这还不是完整的管辖异议制度。第一，庭前会议是否召开以及如何处理异议，仍然带有较强职权主义色彩；第二，庭前会议发生在审判前，此时侦查和审查起诉已经完成，纠正成本较高；第三，对驳回管辖异议的决定缺少独立文书和救济路径。管辖异议如果只是在判决书中附带回应，就难以及时防止错误管辖继续扩大。</w:t>
      </w:r>
    </w:p>
    <w:p>
      <w:pPr>
        <w:spacing w:after="160" w:line="360" w:lineRule="auto"/>
      </w:pPr>
      <w:r>
        <w:rPr>
          <w:b/>
          <w:bCs/>
          <w:sz w:val="28"/>
          <w:szCs w:val="28"/>
          <w:rFonts w:eastAsia="宋体" w:ascii="Times New Roman" w:hAnsi="Times New Roman"/>
        </w:rPr>
        <w:t xml:space="preserve">三、刑事指定管辖的理论基础：程序法定、最密切联系与权利本位</w:t>
      </w:r>
    </w:p>
    <w:p>
      <w:pPr>
        <w:spacing w:after="120" w:line="360" w:lineRule="auto"/>
      </w:pPr>
      <w:r>
        <w:rPr>
          <w:b/>
          <w:bCs/>
          <w:sz w:val="26"/>
          <w:szCs w:val="26"/>
          <w:rFonts w:eastAsia="宋体" w:ascii="Times New Roman" w:hAnsi="Times New Roman"/>
        </w:rPr>
        <w:t xml:space="preserve">（一）程序法定原则要求管辖权来源明确</w:t>
      </w:r>
    </w:p>
    <w:p>
      <w:pPr>
        <w:ind w:firstLineChars="200"/>
        <w:spacing w:after="120" w:line="360" w:lineRule="auto"/>
      </w:pPr>
      <w:r>
        <w:rPr>
          <w:sz w:val="24"/>
          <w:szCs w:val="24"/>
          <w:rFonts w:eastAsia="宋体" w:ascii="Times New Roman" w:hAnsi="Times New Roman"/>
        </w:rPr>
        <w:t xml:space="preserve">刑事诉讼涉及公民人身自由、财产权乃至生命权，对程序法定的要求应当高于其他诉讼。所谓程序法定，不仅意味着侦查、起诉、审判的基本程序由法律规定，也意味着行使刑事司法权的主体必须有明确的管辖依据。没有管辖权的机关启动刑事追诉，本身就是对程序法定原则的削弱。</w:t>
      </w:r>
    </w:p>
    <w:p>
      <w:pPr>
        <w:ind w:firstLineChars="200"/>
        <w:spacing w:after="120" w:line="360" w:lineRule="auto"/>
      </w:pPr>
      <w:r>
        <w:rPr>
          <w:sz w:val="24"/>
          <w:szCs w:val="24"/>
          <w:rFonts w:eastAsia="宋体" w:ascii="Times New Roman" w:hAnsi="Times New Roman"/>
        </w:rPr>
        <w:t xml:space="preserve">王德正从制度同构理论出发指出，我国刑事管辖制度中存在刑事诉讼法、司法解释、改革文件和实践做法之间不协调的问题，管辖规范呈现碎片化、低位阶化和自由裁量过大的风险。[13] 这一观察说明，完善刑事管辖制度不能只靠个案协调，而应当通过刑事诉讼法层面的统一规则实现规范同构。侦查指定管辖、审查起诉管辖、监察调查与刑事诉讼管辖衔接等重要事项，都应当在基本法律或至少在高位阶规范中获得明确依据。</w:t>
      </w:r>
    </w:p>
    <w:p>
      <w:pPr>
        <w:ind w:firstLineChars="200"/>
        <w:spacing w:after="120" w:line="360" w:lineRule="auto"/>
      </w:pPr>
      <w:r>
        <w:rPr>
          <w:sz w:val="24"/>
          <w:szCs w:val="24"/>
          <w:rFonts w:eastAsia="宋体" w:ascii="Times New Roman" w:hAnsi="Times New Roman"/>
        </w:rPr>
        <w:t xml:space="preserve">程序法定并不排斥灵活性。刑事犯罪形态复杂，管辖制度必须保留指定、移送、并案、集中等调节机制。但是，灵活性必须以法定性为边界。越是需要个案调整，越应当规定清楚谁可以启动、基于何种理由、经过何种程序、作成何种文书、当事人如何救济。否则，“灵活”就可能变成“随意”。</w:t>
      </w:r>
    </w:p>
    <w:p>
      <w:pPr>
        <w:spacing w:after="120" w:line="360" w:lineRule="auto"/>
      </w:pPr>
      <w:r>
        <w:rPr>
          <w:b/>
          <w:bCs/>
          <w:sz w:val="26"/>
          <w:szCs w:val="26"/>
          <w:rFonts w:eastAsia="宋体" w:ascii="Times New Roman" w:hAnsi="Times New Roman"/>
        </w:rPr>
        <w:t xml:space="preserve">（二）最密切联系原则限制弱连接点管辖</w:t>
      </w:r>
    </w:p>
    <w:p>
      <w:pPr>
        <w:ind w:firstLineChars="200"/>
        <w:spacing w:after="120" w:line="360" w:lineRule="auto"/>
      </w:pPr>
      <w:r>
        <w:rPr>
          <w:sz w:val="24"/>
          <w:szCs w:val="24"/>
          <w:rFonts w:eastAsia="宋体" w:ascii="Times New Roman" w:hAnsi="Times New Roman"/>
        </w:rPr>
        <w:t xml:space="preserve">地域管辖的基本根据在于案件与特定地域之间存在实质联系。传统刑事诉讼以犯罪地为主、被告人居住地为辅，正是因为犯罪地通常便于收集证据、查明事实、保障证人出庭和接受社会监督。随着网络犯罪、金融犯罪和跨区域共同犯罪增加，犯罪地的内涵被不断扩张，但扩张并不意味着任何连接点都具有同等地位。</w:t>
      </w:r>
    </w:p>
    <w:p>
      <w:pPr>
        <w:ind w:firstLineChars="200"/>
        <w:spacing w:after="120" w:line="360" w:lineRule="auto"/>
      </w:pPr>
      <w:r>
        <w:rPr>
          <w:sz w:val="24"/>
          <w:szCs w:val="24"/>
          <w:rFonts w:eastAsia="宋体" w:ascii="Times New Roman" w:hAnsi="Times New Roman"/>
        </w:rPr>
        <w:t xml:space="preserve">面对“远洋捕捞”式积极管辖争议，应以最密切联系原则限制管辖连接点扩张。蔡元培也认为，移送管辖应当重视“主要犯罪地”的判断，综合犯罪行为性质、次数、地点、金额和危害后果等因素，而不能简单以最先立案或最便于追诉作为标准。[4] 这些观点说明，刑事管辖的确定不能停留在“有无连接点”，而应进一步判断连接点的强弱。</w:t>
      </w:r>
    </w:p>
    <w:p>
      <w:pPr>
        <w:ind w:firstLineChars="200"/>
        <w:spacing w:after="120" w:line="360" w:lineRule="auto"/>
      </w:pPr>
      <w:r>
        <w:rPr>
          <w:sz w:val="24"/>
          <w:szCs w:val="24"/>
          <w:rFonts w:eastAsia="宋体" w:ascii="Times New Roman" w:hAnsi="Times New Roman"/>
        </w:rPr>
        <w:t xml:space="preserve">最密切联系原则可以在三个层面发挥作用。第一，在初始管辖中，优先选择主要犯罪行为地、主要犯罪结果地或者主要证据所在地。第二，在多个机关均有管辖权时，限制最先受理机关的绝对优势，允许向更有实质联系的机关移送。第三，在指定管辖中，即使因公正需要离开原管辖地，也应尽可能选择地域相近、证据便利、辩护成本较低、经济社会环境相近的机关，而不是完全脱离案件联系地。</w:t>
      </w:r>
    </w:p>
    <w:p>
      <w:pPr>
        <w:spacing w:after="120" w:line="360" w:lineRule="auto"/>
      </w:pPr>
      <w:r>
        <w:rPr>
          <w:b/>
          <w:bCs/>
          <w:sz w:val="26"/>
          <w:szCs w:val="26"/>
          <w:rFonts w:eastAsia="宋体" w:ascii="Times New Roman" w:hAnsi="Times New Roman"/>
        </w:rPr>
        <w:t xml:space="preserve">（三）权利本位要求管辖决定具有可争讼性</w:t>
      </w:r>
    </w:p>
    <w:p>
      <w:pPr>
        <w:ind w:firstLineChars="200"/>
        <w:spacing w:after="120" w:line="360" w:lineRule="auto"/>
      </w:pPr>
      <w:r>
        <w:rPr>
          <w:sz w:val="24"/>
          <w:szCs w:val="24"/>
          <w:rFonts w:eastAsia="宋体" w:ascii="Times New Roman" w:hAnsi="Times New Roman"/>
        </w:rPr>
        <w:t xml:space="preserve">指定管辖从工具导向走向权利本位，关键是承认管辖决定对当事人具有直接影响。对于被追诉人而言，异地侦查和异地审判可能增加律师会见、调查取证、亲属旁听和证人出庭的成本；对于被害人而言，过远的管辖地也可能影响参与诉讼；对于证人而言，管辖地变化会影响出庭意愿和作证质量。因此，管辖决定不能只是机关之间的内部流转。</w:t>
      </w:r>
    </w:p>
    <w:p>
      <w:pPr>
        <w:ind w:firstLineChars="200"/>
        <w:spacing w:after="120" w:line="360" w:lineRule="auto"/>
      </w:pPr>
      <w:r>
        <w:rPr>
          <w:sz w:val="24"/>
          <w:szCs w:val="24"/>
          <w:rFonts w:eastAsia="宋体" w:ascii="Times New Roman" w:hAnsi="Times New Roman"/>
        </w:rPr>
        <w:t xml:space="preserve">比较不同管辖制度的共同经验可以发现，凡是管辖决定会明显改变当事人诉讼处境的地方，就应当配置申请权、异议权和听取意见机制。管辖安排会真实影响权利实现：当案件被安排到距离当事人、证人和主要证据较远的地点时，权利在形式上存在，实质上却可能因成本过高而难以行使。刑事诉讼对个人自由的影响更大，更应避免管辖安排成为权利实现的障碍。</w:t>
      </w:r>
    </w:p>
    <w:p>
      <w:pPr>
        <w:ind w:firstLineChars="200"/>
        <w:spacing w:after="120" w:line="360" w:lineRule="auto"/>
      </w:pPr>
      <w:r>
        <w:rPr>
          <w:sz w:val="24"/>
          <w:szCs w:val="24"/>
          <w:rFonts w:eastAsia="宋体" w:ascii="Times New Roman" w:hAnsi="Times New Roman"/>
        </w:rPr>
        <w:t xml:space="preserve">权利本位并不意味着当事人可以任意选择管辖机关。管辖异议应当有提出期限、理由要求和证明门槛，也应防止恶意拖延。但是，防止滥用不能成为否定权利的理由。更合理的做法，是把管辖异议纳入正式程序，通过书面申请、限期审查、理由说明和复议救济来实现权利保障与诉讼效率的平衡。</w:t>
      </w:r>
    </w:p>
    <w:p>
      <w:pPr>
        <w:spacing w:after="160" w:line="360" w:lineRule="auto"/>
      </w:pPr>
      <w:r>
        <w:rPr>
          <w:b/>
          <w:bCs/>
          <w:sz w:val="28"/>
          <w:szCs w:val="28"/>
          <w:rFonts w:eastAsia="宋体" w:ascii="Times New Roman" w:hAnsi="Times New Roman"/>
        </w:rPr>
        <w:t xml:space="preserve">四、完善路径：使指定管辖回到可审查的诉讼程序</w:t>
      </w:r>
    </w:p>
    <w:p>
      <w:pPr>
        <w:spacing w:after="120" w:line="360" w:lineRule="auto"/>
      </w:pPr>
      <w:r>
        <w:rPr>
          <w:b/>
          <w:bCs/>
          <w:sz w:val="26"/>
          <w:szCs w:val="26"/>
          <w:rFonts w:eastAsia="宋体" w:ascii="Times New Roman" w:hAnsi="Times New Roman"/>
        </w:rPr>
        <w:t xml:space="preserve">（一）明确指定管辖的法定事由和适用边界</w:t>
      </w:r>
    </w:p>
    <w:p>
      <w:pPr>
        <w:ind w:firstLineChars="200"/>
        <w:spacing w:after="120" w:line="360" w:lineRule="auto"/>
      </w:pPr>
      <w:r>
        <w:rPr>
          <w:sz w:val="24"/>
          <w:szCs w:val="24"/>
          <w:rFonts w:eastAsia="宋体" w:ascii="Times New Roman" w:hAnsi="Times New Roman"/>
        </w:rPr>
        <w:t xml:space="preserve">未来刑事诉讼法修改，应当在审判指定管辖之外，对侦查指定管辖、审查起诉管辖衔接以及相关移送规则作出更明确规定。指定管辖的法定事由可以包括：第一，几个机关之间对管辖存在争议，协商不能解决；第二，原有管辖机关整体或主要负责人需要回避，继续办理可能影响公正；第三，案件受到严重地方干扰、地方保护或社会关系影响，原地办理难以保证中立；第四，案件重大复杂，确需调配更具办案能力的机关；第五，跨区域犯罪中主要犯罪地难以确定，或者由某一机关统一办理明显有利于查明事实。除此之外，应当对“其他必要情形”作限制性解释，防止兜底条款吞没列举条款。</w:t>
      </w:r>
    </w:p>
    <w:p>
      <w:pPr>
        <w:ind w:firstLineChars="200"/>
        <w:spacing w:after="120" w:line="360" w:lineRule="auto"/>
      </w:pPr>
      <w:r>
        <w:rPr>
          <w:sz w:val="24"/>
          <w:szCs w:val="24"/>
          <w:rFonts w:eastAsia="宋体" w:ascii="Times New Roman" w:hAnsi="Times New Roman"/>
        </w:rPr>
        <w:t xml:space="preserve">指定管辖还应当遵循比例原则。能通过移送管辖解决的，不宜直接指定；能在同级相邻地区解决的，不宜跨越过远地区；能通过个别回避解决的，不宜启动整体变更管辖；能由原管辖机关在监督下办理的，不宜轻易改变法定管辖。蔡元培提出“移送管辖优先于指定管辖”，具有重要意义。[4] 指定管辖体现上级机关意志，行政化色彩较强；移送管辖更多体现平级机关之间的协作和自我纠错，若能完善其程序和监督，确实应当优先适用。</w:t>
      </w:r>
    </w:p>
    <w:p>
      <w:pPr>
        <w:spacing w:after="120" w:line="360" w:lineRule="auto"/>
      </w:pPr>
      <w:r>
        <w:rPr>
          <w:b/>
          <w:bCs/>
          <w:sz w:val="26"/>
          <w:szCs w:val="26"/>
          <w:rFonts w:eastAsia="宋体" w:ascii="Times New Roman" w:hAnsi="Times New Roman"/>
        </w:rPr>
        <w:t xml:space="preserve">（二）建立分阶段的管辖权异议制度</w:t>
      </w:r>
    </w:p>
    <w:p>
      <w:pPr>
        <w:ind w:firstLineChars="200"/>
        <w:spacing w:after="120" w:line="360" w:lineRule="auto"/>
      </w:pPr>
      <w:r>
        <w:rPr>
          <w:sz w:val="24"/>
          <w:szCs w:val="24"/>
          <w:rFonts w:eastAsia="宋体" w:ascii="Times New Roman" w:hAnsi="Times New Roman"/>
        </w:rPr>
        <w:t xml:space="preserve">刑事管辖权异议制度应当覆盖刑事诉讼全过程，但不同阶段的审查主体和法律后果可以有所区别。</w:t>
      </w:r>
    </w:p>
    <w:p>
      <w:pPr>
        <w:ind w:firstLineChars="200"/>
        <w:spacing w:after="120" w:line="360" w:lineRule="auto"/>
      </w:pPr>
      <w:r>
        <w:rPr>
          <w:sz w:val="24"/>
          <w:szCs w:val="24"/>
          <w:rFonts w:eastAsia="宋体" w:ascii="Times New Roman" w:hAnsi="Times New Roman"/>
        </w:rPr>
        <w:t xml:space="preserve">在侦查阶段，犯罪嫌疑人及其辩护人可以自立案后至移送审查起诉前提出管辖异议。对于一般侦查管辖异议，可以向侦查机关的上一级机关提出；涉及已经采取强制措施、查封扣押冻结财物或明显跨地域趋利执法的，应当允许向同级检察机关申请法律监督。检察机关可以通过违法立案监督、侦查活动监督等方式审查管辖问题。对于指定侦查管辖案件，被追诉人不应只能向被指定机关提出异议，因为该机关通常缺少自我否定的动力，可以规定向作出指定决定的上级机关提出，并由检察机关同步监督。</w:t>
      </w:r>
    </w:p>
    <w:p>
      <w:pPr>
        <w:ind w:firstLineChars="200"/>
        <w:spacing w:after="120" w:line="360" w:lineRule="auto"/>
      </w:pPr>
      <w:r>
        <w:rPr>
          <w:sz w:val="24"/>
          <w:szCs w:val="24"/>
          <w:rFonts w:eastAsia="宋体" w:ascii="Times New Roman" w:hAnsi="Times New Roman"/>
        </w:rPr>
        <w:t xml:space="preserve">在审查起诉阶段，犯罪嫌疑人、辩护人以及被害人可以向受理案件的检察机关提出管辖异议。检察机关经审查认为异议成立的，可以移送有管辖权或更适宜管辖的检察机关，并同步处理与法院的对应关系。谢小剑所强调的法检同级对应地域管辖规则，可以作为审查起诉阶段判断的重要依据。[9] 检察机关不能简单以侦查机关所在地作为起诉地，而应预判同级法院是否依法具有审判管辖。</w:t>
      </w:r>
    </w:p>
    <w:p>
      <w:pPr>
        <w:ind w:firstLineChars="200"/>
        <w:spacing w:after="120" w:line="360" w:lineRule="auto"/>
      </w:pPr>
      <w:r>
        <w:rPr>
          <w:sz w:val="24"/>
          <w:szCs w:val="24"/>
          <w:rFonts w:eastAsia="宋体" w:ascii="Times New Roman" w:hAnsi="Times New Roman"/>
        </w:rPr>
        <w:t xml:space="preserve">在审判阶段，被告人、法定代理人、辩护人和被害人可以在庭前会议或者法庭调查开始前提出管辖异议；有正当理由的，也可以在庭审中提出。法院应当以裁定或决定形式作出处理，并说明理由。异议不成立的，应当允许向上一级法院申请复议；复议期间原则上不停止审理，但涉及明显无管辖权、整体回避或重大程序违法的，可以中止审理。这样既能防止拖延，也能避免错误管辖继续扩大。</w:t>
      </w:r>
    </w:p>
    <w:p>
      <w:pPr>
        <w:ind w:firstLineChars="200"/>
        <w:spacing w:after="120" w:line="360" w:lineRule="auto"/>
      </w:pPr>
      <w:r>
        <w:rPr>
          <w:sz w:val="24"/>
          <w:szCs w:val="24"/>
          <w:rFonts w:eastAsia="宋体" w:ascii="Times New Roman" w:hAnsi="Times New Roman"/>
        </w:rPr>
        <w:t xml:space="preserve">监察调查阶段较为特殊。被调查人在留置和调查中权利受限，更难收集证据。对于监察指定管辖异议，可以规定被调查人、辩护律师以及被指定监察机关均有提出权。审查主体可以是作出指定决定的上级监察机关，同时应当在移送审查起诉时由检察机关对监刑衔接中的管辖问题作独立审查。对进入刑事诉讼后的案件，法院应保有审判管辖的最终判断权。</w:t>
      </w:r>
    </w:p>
    <w:p>
      <w:pPr>
        <w:spacing w:after="120" w:line="360" w:lineRule="auto"/>
      </w:pPr>
      <w:r>
        <w:rPr>
          <w:b/>
          <w:bCs/>
          <w:sz w:val="26"/>
          <w:szCs w:val="26"/>
          <w:rFonts w:eastAsia="宋体" w:ascii="Times New Roman" w:hAnsi="Times New Roman"/>
        </w:rPr>
        <w:t xml:space="preserve">（三）强化书面说理、听取意见和程序公开</w:t>
      </w:r>
    </w:p>
    <w:p>
      <w:pPr>
        <w:ind w:firstLineChars="200"/>
        <w:spacing w:after="120" w:line="360" w:lineRule="auto"/>
      </w:pPr>
      <w:r>
        <w:rPr>
          <w:sz w:val="24"/>
          <w:szCs w:val="24"/>
          <w:rFonts w:eastAsia="宋体" w:ascii="Times New Roman" w:hAnsi="Times New Roman"/>
        </w:rPr>
        <w:t xml:space="preserve">指定管辖决定应当书面化、理由化。书面决定至少应写明：原管辖机关、被指定机关、指定依据、案件与被指定机关的联系、选择该机关的理由、是否听取当事人意见、救济途径以及对已采取强制措施和涉案财物的处理安排。没有书面决定，仅以内部函件、情况说明或口头协调改变管辖的，不应产生对当事人的约束力。</w:t>
      </w:r>
    </w:p>
    <w:p>
      <w:pPr>
        <w:ind w:firstLineChars="200"/>
        <w:spacing w:after="120" w:line="360" w:lineRule="auto"/>
      </w:pPr>
      <w:r>
        <w:rPr>
          <w:sz w:val="24"/>
          <w:szCs w:val="24"/>
          <w:rFonts w:eastAsia="宋体" w:ascii="Times New Roman" w:hAnsi="Times New Roman"/>
        </w:rPr>
        <w:t xml:space="preserve">听取意见是管辖决定诉讼化的重要环节。对于不涉及侦查秘密、国家秘密或紧急情况的案件，作出指定或移送决定前应当听取犯罪嫌疑人、被告人、辩护人和被害人的意见。对于重大职务犯罪、涉企经济犯罪、跨省网络犯罪等可能显著增加诉讼成本的案件，更应当说明为何选择特定管辖地。听取意见不等于由当事人决定管辖，而是让决定机关获得更充分的信息，也让当事人形成合理程序预期。</w:t>
      </w:r>
    </w:p>
    <w:p>
      <w:pPr>
        <w:ind w:firstLineChars="200"/>
        <w:spacing w:after="120" w:line="360" w:lineRule="auto"/>
      </w:pPr>
      <w:r>
        <w:rPr>
          <w:sz w:val="24"/>
          <w:szCs w:val="24"/>
          <w:rFonts w:eastAsia="宋体" w:ascii="Times New Roman" w:hAnsi="Times New Roman"/>
        </w:rPr>
        <w:t xml:space="preserve">程序公开也应有所加强。刑事诉讼中确有部分管辖信息不宜完全公开，但至少应当向当事人公开与其权利相关的决定理由。特别是审判阶段的管辖异议处理，应避免只在最终判决书中简单回应，而应当在程序进行中及时处理。只有当事人知道为何由某一机关办理，才能真正理解并监督程序的合法性。</w:t>
      </w:r>
    </w:p>
    <w:p>
      <w:pPr>
        <w:spacing w:after="120" w:line="360" w:lineRule="auto"/>
      </w:pPr>
      <w:r>
        <w:rPr>
          <w:b/>
          <w:bCs/>
          <w:sz w:val="26"/>
          <w:szCs w:val="26"/>
          <w:rFonts w:eastAsia="宋体" w:ascii="Times New Roman" w:hAnsi="Times New Roman"/>
        </w:rPr>
        <w:t xml:space="preserve">（四）完善管辖错误的法律后果</w:t>
      </w:r>
    </w:p>
    <w:p>
      <w:pPr>
        <w:ind w:firstLineChars="200"/>
        <w:spacing w:after="120" w:line="360" w:lineRule="auto"/>
      </w:pPr>
      <w:r>
        <w:rPr>
          <w:sz w:val="24"/>
          <w:szCs w:val="24"/>
          <w:rFonts w:eastAsia="宋体" w:ascii="Times New Roman" w:hAnsi="Times New Roman"/>
        </w:rPr>
        <w:t xml:space="preserve">没有法律后果的权利，难以产生实际约束。管辖异议成立后，应当根据违法程度区分处理。对于轻微管辖瑕疵，且未影响实体公正和当事人权利的，可以维持已经进行的诉讼行为效力，并将案件移送有管辖权机关继续办理。对于明显无管辖权、恶意争抢管辖、借指定管辖规避强制措施条件、严重影响辩护权或审判公正的，应当确认相关强制性侦查措施、审查起诉决定或审判程序违法，并根据具体情况排除非法取得的证据、变更或解除强制措施、重新计算有关期限，直至撤销原审裁判。</w:t>
      </w:r>
    </w:p>
    <w:p>
      <w:pPr>
        <w:ind w:firstLineChars="200"/>
        <w:spacing w:after="120" w:line="360" w:lineRule="auto"/>
      </w:pPr>
      <w:r>
        <w:rPr>
          <w:sz w:val="24"/>
          <w:szCs w:val="24"/>
          <w:rFonts w:eastAsia="宋体" w:ascii="Times New Roman" w:hAnsi="Times New Roman"/>
        </w:rPr>
        <w:t xml:space="preserve">郭烁、吴子越倾向于在侦查指定管辖中采取相对无效说，即紧急情况下的必要任意侦查行为可以保留效力，但违法适用的强制性侦查措施应受到否定评价。[3] 这一思路较符合我国实践需要。完全有效说会使管辖异议流于形式，绝对无效说又可能导致重大案件程序成本过高。相对无效说以违法程度和权利影响为标准，既能制约恶意管辖，也能避免因轻微瑕疵导致程序过度震荡。</w:t>
      </w:r>
    </w:p>
    <w:p>
      <w:pPr>
        <w:ind w:firstLineChars="200"/>
        <w:spacing w:after="120" w:line="360" w:lineRule="auto"/>
      </w:pPr>
      <w:r>
        <w:rPr>
          <w:sz w:val="24"/>
          <w:szCs w:val="24"/>
          <w:rFonts w:eastAsia="宋体" w:ascii="Times New Roman" w:hAnsi="Times New Roman"/>
        </w:rPr>
        <w:t xml:space="preserve">同时，应建立对管辖权利滥用的约束。反复提出同一理由、明显缺乏事实依据、以拖延诉讼为目的的管辖异议，可以由审查机关驳回，并说明理由；但不能因为存在个别滥用，就否定一般案件中管辖异议的制度价值。</w:t>
      </w:r>
    </w:p>
    <w:p>
      <w:pPr>
        <w:spacing w:after="120" w:line="360" w:lineRule="auto"/>
      </w:pPr>
      <w:r>
        <w:rPr>
          <w:b/>
          <w:bCs/>
          <w:sz w:val="26"/>
          <w:szCs w:val="26"/>
          <w:rFonts w:eastAsia="宋体" w:ascii="Times New Roman" w:hAnsi="Times New Roman"/>
        </w:rPr>
        <w:t xml:space="preserve">（五）以检察监督和法院最终审查形成外部制约</w:t>
      </w:r>
    </w:p>
    <w:p>
      <w:pPr>
        <w:ind w:firstLineChars="200"/>
        <w:spacing w:after="120" w:line="360" w:lineRule="auto"/>
      </w:pPr>
      <w:r>
        <w:rPr>
          <w:sz w:val="24"/>
          <w:szCs w:val="24"/>
          <w:rFonts w:eastAsia="宋体" w:ascii="Times New Roman" w:hAnsi="Times New Roman"/>
        </w:rPr>
        <w:t xml:space="preserve">指定管辖的问题，不能只靠作出指定决定的机关自我纠正。检察机关作为法律监督机关，应当对侦查管辖、审查起诉管辖和涉案财物跨地域处置进行全流程监督。对于应当移送而不移送、不应指定而指定、以弱连接点争抢管辖、利用刑事手段干预经济纠纷等情形，检察机关应提出纠正意见。蔡元培特别强调检察机关在防止和纠正“远洋捕捞”中的作用，这与当前规范涉企执法的现实要求相一致。[4]</w:t>
      </w:r>
    </w:p>
    <w:p>
      <w:pPr>
        <w:ind w:firstLineChars="200"/>
        <w:spacing w:after="120" w:line="360" w:lineRule="auto"/>
      </w:pPr>
      <w:r>
        <w:rPr>
          <w:sz w:val="24"/>
          <w:szCs w:val="24"/>
          <w:rFonts w:eastAsia="宋体" w:ascii="Times New Roman" w:hAnsi="Times New Roman"/>
        </w:rPr>
        <w:t xml:space="preserve">法院则应在审判阶段保有最终审查功能。审判管辖不能被侦查或监察决定当然绑定。法院在受理案件时，应主动审查本院是否具有管辖权；被告方提出异议的，应进行实质审查。对于职务犯罪案件，法院尤其应审查监察调查指定管辖是否导致刑事诉讼级别管辖错位。只有让法院在审判入口处真正发挥把关作用，以审判为中心的改革才不会停留在口号上。</w:t>
      </w:r>
    </w:p>
    <w:p>
      <w:pPr>
        <w:spacing w:after="160" w:line="360" w:lineRule="auto"/>
      </w:pPr>
      <w:r>
        <w:rPr>
          <w:b/>
          <w:bCs/>
          <w:sz w:val="28"/>
          <w:szCs w:val="28"/>
          <w:rFonts w:eastAsia="宋体" w:ascii="Times New Roman" w:hAnsi="Times New Roman"/>
        </w:rPr>
        <w:t xml:space="preserve">结语</w:t>
      </w:r>
    </w:p>
    <w:p>
      <w:pPr>
        <w:ind w:firstLineChars="200"/>
        <w:spacing w:after="120" w:line="360" w:lineRule="auto"/>
      </w:pPr>
      <w:r>
        <w:rPr>
          <w:sz w:val="24"/>
          <w:szCs w:val="24"/>
          <w:rFonts w:eastAsia="宋体" w:ascii="Times New Roman" w:hAnsi="Times New Roman"/>
        </w:rPr>
        <w:t xml:space="preserve">刑事指定管辖制度的改革，不应简单走向扩大或取消，而应走向规范化、例外化和救济化。指定管辖作为法定管辖的补充，有其存在价值；但它越是具有现实功能，越需要严格的程序约束。当前文献共同揭示的问题是，管辖制度长期被理解为公安司法机关内部的案件分配技术，导致侦查指定管辖、监察指定管辖、审判指定管辖和集中管辖等机制在不同领域扩张，而当事人的参与和救济明显不足。</w:t>
      </w:r>
    </w:p>
    <w:p>
      <w:pPr>
        <w:ind w:firstLineChars="200"/>
        <w:spacing w:after="120" w:line="360" w:lineRule="auto"/>
      </w:pPr>
      <w:r>
        <w:rPr>
          <w:sz w:val="24"/>
          <w:szCs w:val="24"/>
          <w:rFonts w:eastAsia="宋体" w:ascii="Times New Roman" w:hAnsi="Times New Roman"/>
        </w:rPr>
        <w:t xml:space="preserve">本文认为，未来刑事诉讼法应当确立三项基本方向：第一，以程序法定原则明确侦查、审查起诉、审判以及监察衔接中的管辖规则，减少低位阶规范对管辖权的过度创设；第二，以最密切联系原则和移送管辖优先规则限制弱连接点管辖，防止趋利性执法和“例外反客为主”；第三，以管辖权异议制度为中心，赋予被追诉人、被害人和辩护人必要的申请权、知情权、异议权和复议权，并通过检察监督、法院审查和相对无效后果保障权利落实。</w:t>
      </w:r>
    </w:p>
    <w:p>
      <w:pPr>
        <w:ind w:firstLineChars="200"/>
        <w:spacing w:after="120" w:line="360" w:lineRule="auto"/>
      </w:pPr>
      <w:r>
        <w:rPr>
          <w:sz w:val="24"/>
          <w:szCs w:val="24"/>
          <w:rFonts w:eastAsia="宋体" w:ascii="Times New Roman" w:hAnsi="Times New Roman"/>
        </w:rPr>
        <w:t xml:space="preserve">刑事诉讼的公正，不只体现在最后的判决结果，也体现在案件从一开始是否进入了正确的程序。管辖是刑事程序的入口。入口如果缺少法律边界和权利救济，后续程序再严密也难以完全弥补。因此，使指定管辖回到法定管辖的例外位置，使管辖决定成为可说明、可参与、可审查、可救济的诉讼程序，是刑事诉讼现代化不可绕开的基础问题。</w:t>
      </w:r>
    </w:p>
    <w:p>
      <w:pPr>
        <w:spacing w:after="160" w:line="360" w:lineRule="auto"/>
      </w:pPr>
      <w:r>
        <w:rPr>
          <w:b/>
          <w:bCs/>
          <w:sz w:val="28"/>
          <w:szCs w:val="28"/>
          <w:rFonts w:eastAsia="宋体" w:ascii="Times New Roman" w:hAnsi="Times New Roman"/>
        </w:rPr>
        <w:t xml:space="preserve">参考文献</w:t>
      </w:r>
    </w:p>
    <w:p>
      <w:pPr>
        <w:spacing w:after="120" w:line="360" w:lineRule="auto"/>
      </w:pPr>
      <w:r>
        <w:rPr>
          <w:sz w:val="24"/>
          <w:szCs w:val="24"/>
          <w:rFonts w:eastAsia="宋体" w:ascii="Times New Roman" w:hAnsi="Times New Roman"/>
        </w:rPr>
        <w:t xml:space="preserve">[1] 熊秋红、余鹏文：《我国刑事诉讼管辖体系之完善》。</w:t>
      </w:r>
    </w:p>
    <w:p>
      <w:pPr>
        <w:spacing w:after="120" w:line="360" w:lineRule="auto"/>
      </w:pPr>
      <w:r>
        <w:rPr>
          <w:sz w:val="24"/>
          <w:szCs w:val="24"/>
          <w:rFonts w:eastAsia="宋体" w:ascii="Times New Roman" w:hAnsi="Times New Roman"/>
        </w:rPr>
        <w:t xml:space="preserve">[2] 郭烁：《法定法官原则：刑事管辖制度的确定性与救济性》。</w:t>
      </w:r>
    </w:p>
    <w:p>
      <w:pPr>
        <w:spacing w:after="120" w:line="360" w:lineRule="auto"/>
      </w:pPr>
      <w:r>
        <w:rPr>
          <w:sz w:val="24"/>
          <w:szCs w:val="24"/>
          <w:rFonts w:eastAsia="宋体" w:ascii="Times New Roman" w:hAnsi="Times New Roman"/>
        </w:rPr>
        <w:t xml:space="preserve">[3] 郭烁、吴子越：《从“工具导向”到“权利本位”：侦查指定管辖的性质校准》。</w:t>
      </w:r>
    </w:p>
    <w:p>
      <w:pPr>
        <w:spacing w:after="120" w:line="360" w:lineRule="auto"/>
      </w:pPr>
      <w:r>
        <w:rPr>
          <w:sz w:val="24"/>
          <w:szCs w:val="24"/>
          <w:rFonts w:eastAsia="宋体" w:ascii="Times New Roman" w:hAnsi="Times New Roman"/>
        </w:rPr>
        <w:t xml:space="preserve">[4] 蔡元培：《刑事诉讼移送管辖的功能定位与完善路径》。</w:t>
      </w:r>
    </w:p>
    <w:p>
      <w:pPr>
        <w:spacing w:after="120" w:line="360" w:lineRule="auto"/>
      </w:pPr>
      <w:r>
        <w:rPr>
          <w:sz w:val="24"/>
          <w:szCs w:val="24"/>
          <w:rFonts w:eastAsia="宋体" w:ascii="Times New Roman" w:hAnsi="Times New Roman"/>
        </w:rPr>
        <w:t xml:space="preserve">[5] 张培铮：《论公安机关侦查指定管辖》。</w:t>
      </w:r>
    </w:p>
    <w:p>
      <w:pPr>
        <w:spacing w:after="120" w:line="360" w:lineRule="auto"/>
      </w:pPr>
      <w:r>
        <w:rPr>
          <w:sz w:val="24"/>
          <w:szCs w:val="24"/>
          <w:rFonts w:eastAsia="宋体" w:ascii="Times New Roman" w:hAnsi="Times New Roman"/>
        </w:rPr>
        <w:t xml:space="preserve">[6] 卢少锋、秦景琦：《监察调查中指定管辖的问题检视及完善路径》。</w:t>
      </w:r>
    </w:p>
    <w:p>
      <w:pPr>
        <w:spacing w:after="120" w:line="360" w:lineRule="auto"/>
      </w:pPr>
      <w:r>
        <w:rPr>
          <w:sz w:val="24"/>
          <w:szCs w:val="24"/>
          <w:rFonts w:eastAsia="宋体" w:ascii="Times New Roman" w:hAnsi="Times New Roman"/>
        </w:rPr>
        <w:t xml:space="preserve">[7] 卫跃宁：《监察法与刑事诉讼法管辖衔接研究》。</w:t>
      </w:r>
    </w:p>
    <w:p>
      <w:pPr>
        <w:spacing w:after="120" w:line="360" w:lineRule="auto"/>
      </w:pPr>
      <w:r>
        <w:rPr>
          <w:sz w:val="24"/>
          <w:szCs w:val="24"/>
          <w:rFonts w:eastAsia="宋体" w:ascii="Times New Roman" w:hAnsi="Times New Roman"/>
        </w:rPr>
        <w:t xml:space="preserve">[8] 陈修勇：《监检衔接视角下职务犯罪指定管辖的实践检讨及程序优化》。</w:t>
      </w:r>
    </w:p>
    <w:p>
      <w:pPr>
        <w:spacing w:after="120" w:line="360" w:lineRule="auto"/>
      </w:pPr>
      <w:r>
        <w:rPr>
          <w:sz w:val="24"/>
          <w:szCs w:val="24"/>
          <w:rFonts w:eastAsia="宋体" w:ascii="Times New Roman" w:hAnsi="Times New Roman"/>
        </w:rPr>
        <w:t xml:space="preserve">[9] 谢小剑：《刑事诉讼法检同级对应地域管辖规则探究》。</w:t>
      </w:r>
    </w:p>
    <w:p>
      <w:pPr>
        <w:spacing w:after="120" w:line="360" w:lineRule="auto"/>
      </w:pPr>
      <w:r>
        <w:rPr>
          <w:sz w:val="24"/>
          <w:szCs w:val="24"/>
          <w:rFonts w:eastAsia="宋体" w:ascii="Times New Roman" w:hAnsi="Times New Roman"/>
        </w:rPr>
        <w:t xml:space="preserve">[10] 周涛：《刑事审判管辖异议问题研究》。</w:t>
      </w:r>
    </w:p>
    <w:p>
      <w:pPr>
        <w:spacing w:after="120" w:line="360" w:lineRule="auto"/>
      </w:pPr>
      <w:r>
        <w:rPr>
          <w:sz w:val="24"/>
          <w:szCs w:val="24"/>
          <w:rFonts w:eastAsia="宋体" w:ascii="Times New Roman" w:hAnsi="Times New Roman"/>
        </w:rPr>
        <w:t xml:space="preserve">[11] 李昀遥：《刑事管辖权异议制度研究》。</w:t>
      </w:r>
    </w:p>
    <w:p>
      <w:pPr>
        <w:spacing w:after="120" w:line="360" w:lineRule="auto"/>
      </w:pPr>
      <w:r>
        <w:rPr>
          <w:sz w:val="24"/>
          <w:szCs w:val="24"/>
          <w:rFonts w:eastAsia="宋体" w:ascii="Times New Roman" w:hAnsi="Times New Roman"/>
        </w:rPr>
        <w:t xml:space="preserve">[12] 徐昕：《论颠覆性程序辩护——以管辖异议的有效利用为例》。</w:t>
      </w:r>
    </w:p>
    <w:p>
      <w:pPr>
        <w:spacing w:after="120" w:line="360" w:lineRule="auto"/>
      </w:pPr>
      <w:r>
        <w:rPr>
          <w:sz w:val="24"/>
          <w:szCs w:val="24"/>
          <w:rFonts w:eastAsia="宋体" w:ascii="Times New Roman" w:hAnsi="Times New Roman"/>
        </w:rPr>
        <w:t xml:space="preserve">[13] 王德正：《制度同构理论视角下中国刑事管辖制度发展新路径》。</w:t>
      </w:r>
    </w:p>
    <w:sectPr>
      <w:pgSz w:w="11906" w:h="16838"/>
      <w:pgMar w:top="1440" w:right="1440" w:bottom="1440" w:left="1440" w:header="720" w:footer="720" w:gutter="0"/>
      <w:cols w:space="425"/>
      <w:docGrid w:type="lines" w:linePitch="312"/>
    </w:sectPr>
  </w:body>
</w:document>
</file>

<file path=word/styles.xml><?xml version="1.0" encoding="utf-8"?>
<w:styles xmlns:w="http://schemas.openxmlformats.org/wordprocessingml/2006/main">
  <w:docDefaults>
    <w:rPrDefault>
      <w:rPr>
        <w:rFonts w:eastAsia="宋体" w:ascii="Times New Roman" w:hAnsi="Times New Roman"/>
        <w:sz w:val="24"/>
        <w:szCs w:val="24"/>
      </w:rPr>
    </w:rPrDefault>
    <w:pPrDefault>
      <w:pPr>
        <w:spacing w:line="360" w:lineRule="auto"/>
      </w:pPr>
    </w:pPrDefault>
  </w:docDefaults>
</w:styles>
</file>

<file path=word/_rels/document.xml.rels><?xml version="1.0" encoding="UTF-8" standalone="yes"?><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Cursor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刑事指定管辖的例外化回归与权利救济</dc:title>
  <dc:creator>陈水桓</dc:creator>
  <cp:lastModifiedBy>陈水桓</cp:lastModifiedBy>
  <dcterms:created xsi:type="dcterms:W3CDTF">2026-05-24T15:34:57Z</dcterms:created>
  <dcterms:modified xsi:type="dcterms:W3CDTF">2026-05-24T15:34:57Z</dcterms:modified>
</cp:coreProperties>
</file>