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38CBD" w14:textId="77777777" w:rsidR="007950AF" w:rsidRDefault="007950AF" w:rsidP="007950AF">
      <w:pPr>
        <w:spacing w:line="360" w:lineRule="auto"/>
        <w:jc w:val="center"/>
        <w:rPr>
          <w:rFonts w:ascii="楷体" w:eastAsia="楷体" w:hAnsi="楷体"/>
          <w:color w:val="FFFFFF"/>
          <w:kern w:val="36"/>
          <w:sz w:val="27"/>
          <w:szCs w:val="27"/>
        </w:rPr>
      </w:pPr>
      <w:r>
        <w:rPr>
          <w:rFonts w:ascii="楷体" w:eastAsia="楷体" w:hAnsi="楷体"/>
          <w:color w:val="FFFFFF"/>
          <w:kern w:val="36"/>
          <w:sz w:val="27"/>
          <w:szCs w:val="27"/>
        </w:rPr>
        <w:fldChar w:fldCharType="begin"/>
      </w:r>
      <w:r>
        <w:rPr>
          <w:rFonts w:ascii="楷体" w:eastAsia="楷体" w:hAnsi="楷体"/>
          <w:color w:val="FFFFFF"/>
          <w:kern w:val="36"/>
          <w:sz w:val="27"/>
          <w:szCs w:val="27"/>
        </w:rPr>
        <w:instrText xml:space="preserve"> HYPERLINK "http://bysj.zjgsu.edu.cn/" \o "高校毕业设计（论文）网络平台" </w:instrText>
      </w:r>
      <w:r>
        <w:rPr>
          <w:rFonts w:ascii="楷体" w:eastAsia="楷体" w:hAnsi="楷体"/>
          <w:color w:val="FFFFFF"/>
          <w:kern w:val="36"/>
          <w:sz w:val="27"/>
          <w:szCs w:val="27"/>
        </w:rPr>
        <w:fldChar w:fldCharType="separate"/>
      </w:r>
      <w:r>
        <w:rPr>
          <w:rFonts w:ascii="楷体" w:eastAsia="楷体" w:hAnsi="楷体"/>
          <w:b/>
          <w:bCs/>
          <w:color w:val="FFFFFF"/>
          <w:kern w:val="36"/>
          <w:sz w:val="41"/>
          <w:szCs w:val="41"/>
        </w:rPr>
        <w:fldChar w:fldCharType="begin"/>
      </w:r>
      <w:r>
        <w:rPr>
          <w:rFonts w:ascii="楷体" w:eastAsia="楷体" w:hAnsi="楷体"/>
          <w:b/>
          <w:bCs/>
          <w:color w:val="FFFFFF"/>
          <w:kern w:val="36"/>
          <w:sz w:val="41"/>
          <w:szCs w:val="41"/>
        </w:rPr>
        <w:instrText xml:space="preserve"> INCLUDEPICTURE "http://bysj.zjgsu.edu.cn/styles/images/logo.gif" \* MERGEFORMATINET </w:instrText>
      </w:r>
      <w:r>
        <w:rPr>
          <w:rFonts w:ascii="楷体" w:eastAsia="楷体" w:hAnsi="楷体"/>
          <w:b/>
          <w:bCs/>
          <w:color w:val="FFFFFF"/>
          <w:kern w:val="36"/>
          <w:sz w:val="41"/>
          <w:szCs w:val="41"/>
        </w:rPr>
        <w:fldChar w:fldCharType="separate"/>
      </w:r>
      <w:r>
        <w:rPr>
          <w:rFonts w:ascii="楷体" w:eastAsia="楷体" w:hAnsi="楷体"/>
          <w:b/>
          <w:bCs/>
          <w:color w:val="FFFFFF"/>
          <w:kern w:val="36"/>
          <w:sz w:val="41"/>
          <w:szCs w:val="41"/>
        </w:rPr>
        <w:pict w14:anchorId="3D4DCD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style="width:120.85pt;height:120.85pt;mso-position-horizontal-relative:page;mso-position-vertical-relative:page">
            <v:imagedata r:id="rId8" r:href="rId9"/>
          </v:shape>
        </w:pict>
      </w:r>
      <w:r>
        <w:rPr>
          <w:rFonts w:ascii="楷体" w:eastAsia="楷体" w:hAnsi="楷体"/>
          <w:b/>
          <w:bCs/>
          <w:color w:val="FFFFFF"/>
          <w:kern w:val="36"/>
          <w:sz w:val="41"/>
          <w:szCs w:val="41"/>
        </w:rPr>
        <w:fldChar w:fldCharType="end"/>
      </w:r>
      <w:r>
        <w:rPr>
          <w:rFonts w:ascii="楷体" w:eastAsia="楷体" w:hAnsi="楷体"/>
          <w:color w:val="FFFFFF"/>
          <w:kern w:val="36"/>
          <w:sz w:val="27"/>
          <w:szCs w:val="27"/>
        </w:rPr>
        <w:fldChar w:fldCharType="end"/>
      </w:r>
    </w:p>
    <w:p w14:paraId="709B3335" w14:textId="77777777" w:rsidR="007950AF" w:rsidRDefault="007950AF" w:rsidP="007950AF">
      <w:pPr>
        <w:spacing w:line="360" w:lineRule="auto"/>
        <w:jc w:val="center"/>
        <w:rPr>
          <w:rFonts w:ascii="楷体" w:eastAsia="楷体" w:hAnsi="楷体" w:hint="eastAsia"/>
        </w:rPr>
      </w:pPr>
      <w:r>
        <w:rPr>
          <w:rFonts w:ascii="楷体" w:eastAsia="楷体" w:hAnsi="楷体"/>
          <w:b/>
          <w:bCs/>
          <w:sz w:val="44"/>
          <w:szCs w:val="44"/>
        </w:rPr>
        <w:t>《</w:t>
      </w:r>
      <w:r>
        <w:rPr>
          <w:rFonts w:ascii="楷体" w:eastAsia="楷体" w:hAnsi="楷体" w:hint="eastAsia"/>
          <w:b/>
          <w:bCs/>
          <w:sz w:val="44"/>
          <w:szCs w:val="44"/>
        </w:rPr>
        <w:t>经济法专题</w:t>
      </w:r>
      <w:r>
        <w:rPr>
          <w:rFonts w:ascii="楷体" w:eastAsia="楷体" w:hAnsi="楷体"/>
          <w:b/>
          <w:bCs/>
          <w:sz w:val="44"/>
          <w:szCs w:val="44"/>
        </w:rPr>
        <w:t>》课程</w:t>
      </w:r>
      <w:r>
        <w:rPr>
          <w:rFonts w:ascii="楷体" w:eastAsia="楷体" w:hAnsi="楷体" w:hint="eastAsia"/>
          <w:b/>
          <w:bCs/>
          <w:sz w:val="44"/>
          <w:szCs w:val="44"/>
        </w:rPr>
        <w:t>报告</w:t>
      </w:r>
    </w:p>
    <w:p w14:paraId="0D085E89" w14:textId="77777777" w:rsidR="007950AF" w:rsidRDefault="007950AF" w:rsidP="007950AF">
      <w:pPr>
        <w:spacing w:line="360" w:lineRule="auto"/>
        <w:rPr>
          <w:rFonts w:ascii="楷体" w:eastAsia="楷体" w:hAnsi="楷体"/>
        </w:rPr>
      </w:pPr>
    </w:p>
    <w:p w14:paraId="151F5F00" w14:textId="77777777" w:rsidR="007950AF" w:rsidRPr="000B7D73" w:rsidRDefault="007950AF" w:rsidP="007950AF">
      <w:pPr>
        <w:spacing w:line="360" w:lineRule="auto"/>
        <w:jc w:val="center"/>
        <w:rPr>
          <w:rFonts w:ascii="楷体" w:eastAsia="楷体" w:hAnsi="楷体" w:hint="eastAsia"/>
          <w:sz w:val="32"/>
          <w:szCs w:val="32"/>
        </w:rPr>
      </w:pPr>
    </w:p>
    <w:p w14:paraId="40302F40" w14:textId="77777777" w:rsidR="007950AF" w:rsidRDefault="007950AF" w:rsidP="007950AF">
      <w:pPr>
        <w:widowControl/>
        <w:spacing w:after="200" w:line="360" w:lineRule="auto"/>
        <w:jc w:val="center"/>
        <w:rPr>
          <w:rFonts w:ascii="黑体" w:eastAsia="黑体" w:hAnsi="黑体" w:hint="eastAsia"/>
          <w:b/>
          <w:kern w:val="0"/>
          <w:sz w:val="30"/>
          <w:szCs w:val="30"/>
        </w:rPr>
      </w:pPr>
      <w:r>
        <w:rPr>
          <w:rFonts w:ascii="楷体" w:eastAsia="楷体" w:hAnsi="楷体"/>
          <w:b/>
          <w:sz w:val="36"/>
          <w:szCs w:val="36"/>
        </w:rPr>
        <w:t>题目：</w:t>
      </w:r>
      <w:r w:rsidRPr="00625EF7">
        <w:rPr>
          <w:rFonts w:ascii="黑体" w:eastAsia="黑体" w:hAnsi="黑体"/>
          <w:b/>
          <w:kern w:val="0"/>
          <w:sz w:val="30"/>
          <w:szCs w:val="30"/>
        </w:rPr>
        <w:t>破产劣后债权制度研究</w:t>
      </w:r>
    </w:p>
    <w:p w14:paraId="6F8C4370" w14:textId="1391910E" w:rsidR="007950AF" w:rsidRDefault="007950AF" w:rsidP="007950AF">
      <w:pPr>
        <w:spacing w:line="360" w:lineRule="auto"/>
        <w:jc w:val="center"/>
        <w:rPr>
          <w:rFonts w:ascii="楷体" w:eastAsia="楷体" w:hAnsi="楷体" w:hint="eastAsia"/>
          <w:b/>
          <w:bCs/>
          <w:sz w:val="36"/>
          <w:szCs w:val="36"/>
        </w:rPr>
      </w:pPr>
      <w:r>
        <w:rPr>
          <w:rFonts w:ascii="楷体" w:eastAsia="楷体" w:hAnsi="楷体" w:hint="eastAsia"/>
          <w:b/>
          <w:bCs/>
          <w:sz w:val="36"/>
          <w:szCs w:val="36"/>
        </w:rPr>
        <w:t xml:space="preserve"> </w:t>
      </w:r>
    </w:p>
    <w:p w14:paraId="7304019E" w14:textId="77777777" w:rsidR="007950AF" w:rsidRDefault="007950AF" w:rsidP="007950AF">
      <w:pPr>
        <w:spacing w:line="360" w:lineRule="auto"/>
        <w:rPr>
          <w:rFonts w:ascii="楷体" w:eastAsia="楷体" w:hAnsi="楷体" w:hint="eastAsia"/>
          <w:b/>
          <w:bCs/>
          <w:sz w:val="32"/>
        </w:rPr>
      </w:pPr>
    </w:p>
    <w:p w14:paraId="7BBEF3D2" w14:textId="77777777" w:rsidR="007950AF" w:rsidRDefault="007950AF" w:rsidP="007950AF">
      <w:pPr>
        <w:spacing w:line="360" w:lineRule="auto"/>
        <w:rPr>
          <w:rFonts w:ascii="楷体" w:eastAsia="楷体" w:hAnsi="楷体" w:hint="eastAsia"/>
          <w:b/>
          <w:bCs/>
          <w:sz w:val="32"/>
        </w:rPr>
      </w:pPr>
    </w:p>
    <w:p w14:paraId="679CAF01" w14:textId="495CB410" w:rsidR="007950AF" w:rsidRDefault="007950AF" w:rsidP="007950AF">
      <w:pPr>
        <w:spacing w:line="360" w:lineRule="auto"/>
        <w:ind w:firstLineChars="595" w:firstLine="1911"/>
        <w:rPr>
          <w:rFonts w:ascii="楷体" w:eastAsia="楷体" w:hAnsi="楷体" w:hint="eastAsia"/>
          <w:b/>
          <w:bCs/>
          <w:sz w:val="32"/>
          <w:szCs w:val="32"/>
        </w:rPr>
      </w:pPr>
      <w:r>
        <w:rPr>
          <w:rFonts w:ascii="楷体" w:eastAsia="楷体" w:hAnsi="楷体" w:hint="eastAsia"/>
          <w:b/>
          <w:bCs/>
          <w:sz w:val="32"/>
          <w:szCs w:val="32"/>
        </w:rPr>
        <w:t xml:space="preserve">课程名称： </w:t>
      </w:r>
      <w:r>
        <w:rPr>
          <w:rFonts w:ascii="楷体" w:eastAsia="楷体" w:hAnsi="楷体" w:hint="eastAsia"/>
          <w:b/>
          <w:bCs/>
          <w:sz w:val="32"/>
          <w:szCs w:val="32"/>
        </w:rPr>
        <w:t>经济法</w:t>
      </w:r>
    </w:p>
    <w:p w14:paraId="00F2B2FA" w14:textId="7F4F8440" w:rsidR="007950AF" w:rsidRDefault="007950AF" w:rsidP="007950AF">
      <w:pPr>
        <w:spacing w:line="360" w:lineRule="auto"/>
        <w:ind w:firstLineChars="595" w:firstLine="1911"/>
        <w:rPr>
          <w:rFonts w:ascii="楷体" w:eastAsia="楷体" w:hAnsi="楷体" w:hint="eastAsia"/>
          <w:b/>
          <w:bCs/>
          <w:sz w:val="32"/>
          <w:szCs w:val="32"/>
        </w:rPr>
      </w:pPr>
      <w:r>
        <w:rPr>
          <w:rFonts w:ascii="楷体" w:eastAsia="楷体" w:hAnsi="楷体"/>
          <w:b/>
          <w:bCs/>
          <w:sz w:val="32"/>
          <w:szCs w:val="32"/>
        </w:rPr>
        <w:t>班    级：</w:t>
      </w:r>
      <w:r>
        <w:rPr>
          <w:rFonts w:ascii="楷体" w:eastAsia="楷体" w:hAnsi="楷体" w:hint="eastAsia"/>
          <w:b/>
          <w:bCs/>
          <w:sz w:val="32"/>
          <w:szCs w:val="32"/>
        </w:rPr>
        <w:t xml:space="preserve"> </w:t>
      </w:r>
      <w:r>
        <w:rPr>
          <w:rFonts w:ascii="楷体" w:eastAsia="楷体" w:hAnsi="楷体" w:hint="eastAsia"/>
          <w:b/>
          <w:bCs/>
          <w:sz w:val="32"/>
          <w:szCs w:val="32"/>
        </w:rPr>
        <w:t>25法律（法学）</w:t>
      </w:r>
    </w:p>
    <w:p w14:paraId="79C8CCBA" w14:textId="56A2603D" w:rsidR="007950AF" w:rsidRDefault="007950AF" w:rsidP="007950AF">
      <w:pPr>
        <w:spacing w:line="360" w:lineRule="auto"/>
        <w:ind w:firstLineChars="595" w:firstLine="1911"/>
        <w:rPr>
          <w:rFonts w:ascii="楷体" w:eastAsia="楷体" w:hAnsi="楷体" w:hint="eastAsia"/>
          <w:b/>
          <w:bCs/>
          <w:sz w:val="32"/>
          <w:szCs w:val="32"/>
        </w:rPr>
      </w:pPr>
      <w:r>
        <w:rPr>
          <w:rFonts w:ascii="楷体" w:eastAsia="楷体" w:hAnsi="楷体"/>
          <w:b/>
          <w:bCs/>
          <w:sz w:val="32"/>
          <w:szCs w:val="32"/>
        </w:rPr>
        <w:t>学 　 号：</w:t>
      </w:r>
      <w:r>
        <w:rPr>
          <w:rFonts w:ascii="楷体" w:eastAsia="楷体" w:hAnsi="楷体" w:hint="eastAsia"/>
          <w:b/>
          <w:bCs/>
          <w:sz w:val="32"/>
          <w:szCs w:val="32"/>
        </w:rPr>
        <w:t xml:space="preserve"> </w:t>
      </w:r>
      <w:r>
        <w:rPr>
          <w:rFonts w:ascii="楷体" w:eastAsia="楷体" w:hAnsi="楷体" w:hint="eastAsia"/>
          <w:b/>
          <w:bCs/>
          <w:sz w:val="32"/>
          <w:szCs w:val="32"/>
        </w:rPr>
        <w:t>25020070121</w:t>
      </w:r>
      <w:r>
        <w:rPr>
          <w:rFonts w:ascii="楷体" w:eastAsia="楷体" w:hAnsi="楷体"/>
          <w:b/>
          <w:bCs/>
          <w:sz w:val="32"/>
          <w:szCs w:val="32"/>
        </w:rPr>
        <w:tab/>
      </w:r>
    </w:p>
    <w:p w14:paraId="2762E659" w14:textId="0883ECD4" w:rsidR="007950AF" w:rsidRDefault="007950AF" w:rsidP="007950AF">
      <w:pPr>
        <w:spacing w:line="360" w:lineRule="auto"/>
        <w:ind w:firstLineChars="595" w:firstLine="1911"/>
        <w:rPr>
          <w:rFonts w:ascii="楷体" w:eastAsia="楷体" w:hAnsi="楷体" w:hint="eastAsia"/>
          <w:b/>
          <w:bCs/>
          <w:sz w:val="32"/>
          <w:szCs w:val="32"/>
        </w:rPr>
      </w:pPr>
      <w:r>
        <w:rPr>
          <w:rFonts w:ascii="楷体" w:eastAsia="楷体" w:hAnsi="楷体"/>
          <w:b/>
          <w:bCs/>
          <w:sz w:val="32"/>
          <w:szCs w:val="32"/>
        </w:rPr>
        <w:t>学生姓名：</w:t>
      </w:r>
      <w:r>
        <w:rPr>
          <w:rFonts w:ascii="楷体" w:eastAsia="楷体" w:hAnsi="楷体" w:hint="eastAsia"/>
          <w:b/>
          <w:bCs/>
          <w:sz w:val="32"/>
          <w:szCs w:val="32"/>
        </w:rPr>
        <w:t xml:space="preserve"> </w:t>
      </w:r>
      <w:r>
        <w:rPr>
          <w:rFonts w:ascii="楷体" w:eastAsia="楷体" w:hAnsi="楷体" w:hint="eastAsia"/>
          <w:b/>
          <w:bCs/>
          <w:sz w:val="32"/>
          <w:szCs w:val="32"/>
        </w:rPr>
        <w:t>陈水桓</w:t>
      </w:r>
    </w:p>
    <w:p w14:paraId="5C3AA88F" w14:textId="77777777" w:rsidR="007950AF" w:rsidRDefault="007950AF" w:rsidP="007950AF">
      <w:pPr>
        <w:spacing w:line="360" w:lineRule="auto"/>
        <w:jc w:val="center"/>
        <w:rPr>
          <w:rFonts w:ascii="楷体" w:eastAsia="楷体" w:hAnsi="楷体"/>
          <w:b/>
          <w:bCs/>
          <w:sz w:val="32"/>
          <w:szCs w:val="32"/>
        </w:rPr>
      </w:pPr>
    </w:p>
    <w:p w14:paraId="14B8FCC0" w14:textId="77777777" w:rsidR="00A37570" w:rsidRDefault="00A37570" w:rsidP="007950AF">
      <w:pPr>
        <w:spacing w:line="360" w:lineRule="auto"/>
        <w:jc w:val="center"/>
        <w:rPr>
          <w:rFonts w:ascii="楷体" w:eastAsia="楷体" w:hAnsi="楷体"/>
          <w:b/>
          <w:bCs/>
          <w:sz w:val="32"/>
          <w:szCs w:val="32"/>
        </w:rPr>
      </w:pPr>
    </w:p>
    <w:p w14:paraId="7B3B6130" w14:textId="77777777" w:rsidR="00A37570" w:rsidRDefault="00A37570" w:rsidP="007950AF">
      <w:pPr>
        <w:spacing w:line="360" w:lineRule="auto"/>
        <w:jc w:val="center"/>
        <w:rPr>
          <w:rFonts w:ascii="楷体" w:eastAsia="楷体" w:hAnsi="楷体"/>
          <w:b/>
          <w:bCs/>
          <w:sz w:val="32"/>
          <w:szCs w:val="32"/>
        </w:rPr>
      </w:pPr>
    </w:p>
    <w:p w14:paraId="68E910B8" w14:textId="77777777" w:rsidR="00A37570" w:rsidRDefault="00A37570" w:rsidP="007950AF">
      <w:pPr>
        <w:spacing w:line="360" w:lineRule="auto"/>
        <w:jc w:val="center"/>
        <w:rPr>
          <w:rFonts w:ascii="楷体" w:eastAsia="楷体" w:hAnsi="楷体"/>
          <w:b/>
          <w:bCs/>
          <w:sz w:val="32"/>
          <w:szCs w:val="32"/>
        </w:rPr>
      </w:pPr>
    </w:p>
    <w:p w14:paraId="08F91889" w14:textId="77777777" w:rsidR="00A37570" w:rsidRDefault="00A37570" w:rsidP="007950AF">
      <w:pPr>
        <w:spacing w:line="360" w:lineRule="auto"/>
        <w:jc w:val="center"/>
        <w:rPr>
          <w:rFonts w:ascii="楷体" w:eastAsia="楷体" w:hAnsi="楷体" w:hint="eastAsia"/>
          <w:b/>
          <w:bCs/>
          <w:sz w:val="32"/>
        </w:rPr>
      </w:pPr>
    </w:p>
    <w:p w14:paraId="51615987" w14:textId="77777777" w:rsidR="007950AF" w:rsidRDefault="007950AF" w:rsidP="007950AF">
      <w:pPr>
        <w:spacing w:line="360" w:lineRule="auto"/>
        <w:rPr>
          <w:rFonts w:ascii="楷体" w:eastAsia="楷体" w:hAnsi="楷体" w:hint="eastAsia"/>
          <w:b/>
          <w:bCs/>
          <w:sz w:val="32"/>
        </w:rPr>
      </w:pPr>
    </w:p>
    <w:p w14:paraId="6295A2F4" w14:textId="0F0C01EA" w:rsidR="00A37570" w:rsidRPr="00A37570" w:rsidRDefault="007950AF" w:rsidP="00A37570">
      <w:pPr>
        <w:widowControl/>
        <w:spacing w:after="200" w:line="360" w:lineRule="auto"/>
        <w:jc w:val="center"/>
        <w:rPr>
          <w:rFonts w:ascii="楷体" w:eastAsia="楷体" w:hAnsi="楷体" w:hint="eastAsia"/>
          <w:b/>
          <w:bCs/>
          <w:sz w:val="32"/>
        </w:rPr>
      </w:pPr>
      <w:r>
        <w:rPr>
          <w:rFonts w:ascii="楷体" w:eastAsia="楷体" w:hAnsi="楷体"/>
          <w:b/>
          <w:bCs/>
          <w:sz w:val="32"/>
        </w:rPr>
        <w:t>二0</w:t>
      </w:r>
      <w:r>
        <w:rPr>
          <w:rFonts w:ascii="楷体" w:eastAsia="楷体" w:hAnsi="楷体" w:hint="eastAsia"/>
          <w:b/>
          <w:bCs/>
          <w:sz w:val="32"/>
        </w:rPr>
        <w:t>二六</w:t>
      </w:r>
      <w:r>
        <w:rPr>
          <w:rFonts w:ascii="楷体" w:eastAsia="楷体" w:hAnsi="楷体"/>
          <w:b/>
          <w:bCs/>
          <w:sz w:val="32"/>
        </w:rPr>
        <w:t>年</w:t>
      </w:r>
      <w:r>
        <w:rPr>
          <w:rFonts w:ascii="楷体" w:eastAsia="楷体" w:hAnsi="楷体" w:hint="eastAsia"/>
          <w:b/>
          <w:bCs/>
          <w:sz w:val="32"/>
        </w:rPr>
        <w:t>五月</w:t>
      </w:r>
    </w:p>
    <w:p w14:paraId="08297081" w14:textId="3E51C8EB" w:rsidR="00625EF7" w:rsidRPr="00A37570" w:rsidRDefault="00625EF7" w:rsidP="00A37570">
      <w:pPr>
        <w:widowControl/>
        <w:spacing w:after="200" w:line="360" w:lineRule="auto"/>
        <w:jc w:val="center"/>
        <w:rPr>
          <w:rFonts w:ascii="宋体" w:eastAsia="宋体" w:hAnsi="宋体" w:hint="eastAsia"/>
          <w:b/>
          <w:kern w:val="0"/>
          <w:sz w:val="30"/>
          <w:szCs w:val="30"/>
        </w:rPr>
      </w:pPr>
      <w:r w:rsidRPr="007950AF">
        <w:rPr>
          <w:rFonts w:ascii="宋体" w:eastAsia="宋体" w:hAnsi="宋体"/>
          <w:b/>
          <w:kern w:val="0"/>
          <w:sz w:val="30"/>
          <w:szCs w:val="30"/>
        </w:rPr>
        <w:lastRenderedPageBreak/>
        <w:t>破产劣后债权制度研究</w:t>
      </w:r>
    </w:p>
    <w:p w14:paraId="466DBB8E" w14:textId="00834EB7" w:rsidR="00625EF7" w:rsidRPr="007950AF" w:rsidRDefault="00625EF7" w:rsidP="007950AF">
      <w:pPr>
        <w:widowControl/>
        <w:spacing w:after="200" w:line="360" w:lineRule="auto"/>
        <w:jc w:val="left"/>
        <w:rPr>
          <w:rFonts w:ascii="黑体" w:eastAsia="黑体" w:hAnsi="黑体" w:hint="eastAsia"/>
          <w:b/>
          <w:kern w:val="0"/>
          <w:sz w:val="24"/>
        </w:rPr>
      </w:pPr>
      <w:r w:rsidRPr="007950AF">
        <w:rPr>
          <w:rFonts w:ascii="黑体" w:eastAsia="黑体" w:hAnsi="黑体" w:hint="eastAsia"/>
          <w:b/>
          <w:kern w:val="0"/>
          <w:sz w:val="24"/>
        </w:rPr>
        <w:t>摘  要：</w:t>
      </w:r>
      <w:r w:rsidR="00F867EF" w:rsidRPr="007950AF">
        <w:rPr>
          <w:rFonts w:ascii="黑体" w:eastAsia="黑体" w:hAnsi="黑体" w:hint="eastAsia"/>
          <w:bCs/>
          <w:kern w:val="0"/>
          <w:sz w:val="24"/>
        </w:rPr>
        <w:t>破产劣后债权制度是破产清偿顺位的一部分，通过调整特定债权的清偿顺位，实现破产法公平清偿这一目标。目前，基于经济活动交往频繁、企业结构复杂、关联交易频发的背景下，将哪一部分债权认定为劣后债权并劣后受偿，是破产法与经济法实践中的重要问题。我国如今采取“二分法”将债权分为优先债权和普通债权，而没有</w:t>
      </w:r>
      <w:r w:rsidR="00AB1558" w:rsidRPr="007950AF">
        <w:rPr>
          <w:rFonts w:ascii="黑体" w:eastAsia="黑体" w:hAnsi="黑体" w:hint="eastAsia"/>
          <w:bCs/>
          <w:kern w:val="0"/>
          <w:sz w:val="24"/>
        </w:rPr>
        <w:t>采取同美国一样的“三分法”，将特定债权列为劣后债权。本文将以美国破产法为基础，分析破产劣后债权的概念、类型、制度基础和适用条件，并结合我国破产法现状，探讨我国在建立类型化劣后债权规则、明确协议劣后效力、完善内部人债权审查和引入衡平劣后机制等方面的制度完善路径。</w:t>
      </w:r>
    </w:p>
    <w:p w14:paraId="7A2E9470" w14:textId="77777777" w:rsidR="00F867EF" w:rsidRPr="007950AF" w:rsidRDefault="00F867EF" w:rsidP="007950AF">
      <w:pPr>
        <w:widowControl/>
        <w:spacing w:after="200" w:line="360" w:lineRule="auto"/>
        <w:jc w:val="left"/>
        <w:rPr>
          <w:rFonts w:ascii="黑体" w:eastAsia="黑体" w:hAnsi="黑体" w:hint="eastAsia"/>
          <w:b/>
          <w:kern w:val="0"/>
          <w:sz w:val="24"/>
        </w:rPr>
      </w:pPr>
    </w:p>
    <w:p w14:paraId="4A97BB09" w14:textId="7A54FD8E" w:rsidR="00AE4FBD" w:rsidRPr="007950AF" w:rsidRDefault="00AE4FBD" w:rsidP="007950AF">
      <w:pPr>
        <w:widowControl/>
        <w:spacing w:after="200" w:line="360" w:lineRule="auto"/>
        <w:jc w:val="left"/>
        <w:rPr>
          <w:rFonts w:ascii="黑体" w:eastAsia="黑体" w:hAnsi="黑体" w:hint="eastAsia"/>
          <w:bCs/>
          <w:kern w:val="0"/>
          <w:sz w:val="24"/>
        </w:rPr>
      </w:pPr>
      <w:r w:rsidRPr="007950AF">
        <w:rPr>
          <w:rFonts w:ascii="黑体" w:eastAsia="黑体" w:hAnsi="黑体"/>
          <w:b/>
          <w:kern w:val="0"/>
          <w:sz w:val="24"/>
        </w:rPr>
        <w:t>关键词</w:t>
      </w:r>
      <w:r w:rsidRPr="007950AF">
        <w:rPr>
          <w:rFonts w:ascii="黑体" w:eastAsia="黑体" w:hAnsi="黑体" w:hint="eastAsia"/>
          <w:b/>
          <w:kern w:val="0"/>
          <w:sz w:val="24"/>
        </w:rPr>
        <w:t>：</w:t>
      </w:r>
      <w:r w:rsidRPr="007950AF">
        <w:rPr>
          <w:rFonts w:ascii="黑体" w:eastAsia="黑体" w:hAnsi="黑体"/>
          <w:bCs/>
          <w:kern w:val="0"/>
          <w:sz w:val="24"/>
        </w:rPr>
        <w:t>破产劣后债权</w:t>
      </w:r>
      <w:r w:rsidRPr="007950AF">
        <w:rPr>
          <w:rFonts w:ascii="黑体" w:eastAsia="黑体" w:hAnsi="黑体" w:hint="eastAsia"/>
          <w:bCs/>
          <w:kern w:val="0"/>
          <w:sz w:val="24"/>
        </w:rPr>
        <w:t>；</w:t>
      </w:r>
      <w:r w:rsidRPr="007950AF">
        <w:rPr>
          <w:rFonts w:ascii="黑体" w:eastAsia="黑体" w:hAnsi="黑体"/>
          <w:bCs/>
          <w:kern w:val="0"/>
          <w:sz w:val="24"/>
        </w:rPr>
        <w:t>美国破产法；经济法；清偿顺位</w:t>
      </w:r>
    </w:p>
    <w:p w14:paraId="1D02C9F6" w14:textId="77777777" w:rsidR="00F867EF" w:rsidRDefault="00F867EF" w:rsidP="007950AF">
      <w:pPr>
        <w:widowControl/>
        <w:spacing w:after="200" w:line="360" w:lineRule="auto"/>
        <w:jc w:val="left"/>
        <w:rPr>
          <w:rFonts w:ascii="宋体" w:eastAsia="宋体" w:hAnsi="宋体" w:hint="eastAsia"/>
          <w:b/>
          <w:kern w:val="0"/>
          <w:sz w:val="24"/>
        </w:rPr>
      </w:pPr>
    </w:p>
    <w:p w14:paraId="26F4D0AF" w14:textId="77777777" w:rsidR="00F867EF" w:rsidRDefault="00F867EF" w:rsidP="007950AF">
      <w:pPr>
        <w:widowControl/>
        <w:spacing w:after="200" w:line="360" w:lineRule="auto"/>
        <w:jc w:val="left"/>
        <w:rPr>
          <w:rFonts w:ascii="宋体" w:eastAsia="宋体" w:hAnsi="宋体" w:hint="eastAsia"/>
          <w:b/>
          <w:kern w:val="0"/>
          <w:sz w:val="24"/>
        </w:rPr>
      </w:pPr>
    </w:p>
    <w:p w14:paraId="434D8BB7" w14:textId="77777777" w:rsidR="00F867EF" w:rsidRDefault="00F867EF" w:rsidP="007950AF">
      <w:pPr>
        <w:widowControl/>
        <w:spacing w:after="200" w:line="360" w:lineRule="auto"/>
        <w:jc w:val="left"/>
        <w:rPr>
          <w:rFonts w:ascii="宋体" w:eastAsia="宋体" w:hAnsi="宋体" w:hint="eastAsia"/>
          <w:b/>
          <w:kern w:val="0"/>
          <w:sz w:val="24"/>
        </w:rPr>
      </w:pPr>
    </w:p>
    <w:p w14:paraId="3D46E77E" w14:textId="77777777" w:rsidR="00F867EF" w:rsidRDefault="00F867EF" w:rsidP="007950AF">
      <w:pPr>
        <w:widowControl/>
        <w:spacing w:after="200" w:line="360" w:lineRule="auto"/>
        <w:jc w:val="left"/>
        <w:rPr>
          <w:rFonts w:ascii="宋体" w:eastAsia="宋体" w:hAnsi="宋体" w:hint="eastAsia"/>
          <w:b/>
          <w:kern w:val="0"/>
          <w:sz w:val="24"/>
        </w:rPr>
      </w:pPr>
    </w:p>
    <w:p w14:paraId="766AABD2" w14:textId="77777777" w:rsidR="00F867EF" w:rsidRDefault="00F867EF" w:rsidP="007950AF">
      <w:pPr>
        <w:widowControl/>
        <w:spacing w:after="200" w:line="360" w:lineRule="auto"/>
        <w:jc w:val="left"/>
        <w:rPr>
          <w:rFonts w:ascii="宋体" w:eastAsia="宋体" w:hAnsi="宋体" w:hint="eastAsia"/>
          <w:b/>
          <w:kern w:val="0"/>
          <w:sz w:val="24"/>
        </w:rPr>
      </w:pPr>
    </w:p>
    <w:p w14:paraId="620B3A9F" w14:textId="77777777" w:rsidR="00F867EF" w:rsidRDefault="00F867EF" w:rsidP="007950AF">
      <w:pPr>
        <w:widowControl/>
        <w:spacing w:after="200" w:line="360" w:lineRule="auto"/>
        <w:jc w:val="left"/>
        <w:rPr>
          <w:rFonts w:ascii="宋体" w:eastAsia="宋体" w:hAnsi="宋体" w:hint="eastAsia"/>
          <w:b/>
          <w:kern w:val="0"/>
          <w:sz w:val="24"/>
        </w:rPr>
      </w:pPr>
    </w:p>
    <w:p w14:paraId="75C131DA" w14:textId="77777777" w:rsidR="00F867EF" w:rsidRDefault="00F867EF" w:rsidP="007950AF">
      <w:pPr>
        <w:widowControl/>
        <w:spacing w:after="200" w:line="360" w:lineRule="auto"/>
        <w:jc w:val="left"/>
        <w:rPr>
          <w:rFonts w:ascii="宋体" w:eastAsia="宋体" w:hAnsi="宋体" w:hint="eastAsia"/>
          <w:b/>
          <w:kern w:val="0"/>
          <w:sz w:val="24"/>
        </w:rPr>
      </w:pPr>
    </w:p>
    <w:p w14:paraId="676A6D5E" w14:textId="77777777" w:rsidR="00F867EF" w:rsidRDefault="00F867EF" w:rsidP="007950AF">
      <w:pPr>
        <w:widowControl/>
        <w:spacing w:after="200" w:line="360" w:lineRule="auto"/>
        <w:jc w:val="left"/>
        <w:rPr>
          <w:rFonts w:ascii="宋体" w:eastAsia="宋体" w:hAnsi="宋体" w:hint="eastAsia"/>
          <w:b/>
          <w:kern w:val="0"/>
          <w:sz w:val="24"/>
        </w:rPr>
      </w:pPr>
    </w:p>
    <w:p w14:paraId="0F46D801" w14:textId="77777777" w:rsidR="00F867EF" w:rsidRDefault="00F867EF" w:rsidP="007950AF">
      <w:pPr>
        <w:widowControl/>
        <w:spacing w:after="200" w:line="360" w:lineRule="auto"/>
        <w:jc w:val="left"/>
        <w:rPr>
          <w:rFonts w:ascii="宋体" w:eastAsia="宋体" w:hAnsi="宋体" w:hint="eastAsia"/>
          <w:b/>
          <w:kern w:val="0"/>
          <w:sz w:val="24"/>
        </w:rPr>
      </w:pPr>
    </w:p>
    <w:p w14:paraId="49EF04BF" w14:textId="77777777" w:rsidR="00F867EF" w:rsidRDefault="00F867EF" w:rsidP="007950AF">
      <w:pPr>
        <w:widowControl/>
        <w:spacing w:after="200" w:line="360" w:lineRule="auto"/>
        <w:jc w:val="left"/>
        <w:rPr>
          <w:rFonts w:ascii="宋体" w:eastAsia="宋体" w:hAnsi="宋体" w:hint="eastAsia"/>
          <w:b/>
          <w:kern w:val="0"/>
          <w:sz w:val="24"/>
        </w:rPr>
      </w:pPr>
    </w:p>
    <w:p w14:paraId="39A46327" w14:textId="77777777" w:rsidR="00F867EF" w:rsidRDefault="00F867EF" w:rsidP="007950AF">
      <w:pPr>
        <w:widowControl/>
        <w:spacing w:after="200" w:line="360" w:lineRule="auto"/>
        <w:jc w:val="left"/>
        <w:rPr>
          <w:rFonts w:ascii="宋体" w:eastAsia="宋体" w:hAnsi="宋体" w:hint="eastAsia"/>
          <w:b/>
          <w:kern w:val="0"/>
          <w:sz w:val="24"/>
        </w:rPr>
      </w:pPr>
    </w:p>
    <w:p w14:paraId="69CA9D19" w14:textId="6FEC71E2" w:rsidR="00F867EF" w:rsidRPr="003C19D0" w:rsidRDefault="006941ED" w:rsidP="007950AF">
      <w:pPr>
        <w:widowControl/>
        <w:spacing w:after="200" w:line="360" w:lineRule="auto"/>
        <w:jc w:val="left"/>
        <w:rPr>
          <w:rFonts w:ascii="黑体" w:eastAsia="黑体" w:hAnsi="黑体" w:hint="eastAsia"/>
          <w:b/>
          <w:kern w:val="0"/>
          <w:sz w:val="28"/>
        </w:rPr>
      </w:pPr>
      <w:r w:rsidRPr="003C19D0">
        <w:rPr>
          <w:rFonts w:ascii="黑体" w:eastAsia="黑体" w:hAnsi="黑体" w:hint="eastAsia"/>
          <w:b/>
          <w:kern w:val="0"/>
          <w:sz w:val="28"/>
        </w:rPr>
        <w:lastRenderedPageBreak/>
        <w:t>一、破产劣后债权概述</w:t>
      </w:r>
    </w:p>
    <w:p w14:paraId="7BD3FB57" w14:textId="4CACCF85" w:rsidR="00F867EF" w:rsidRPr="006941ED" w:rsidRDefault="00F867EF" w:rsidP="007950AF">
      <w:pPr>
        <w:widowControl/>
        <w:spacing w:after="200" w:line="360" w:lineRule="auto"/>
        <w:ind w:firstLineChars="200" w:firstLine="420"/>
        <w:jc w:val="left"/>
        <w:rPr>
          <w:rFonts w:ascii="宋体" w:eastAsia="宋体" w:hAnsi="宋体" w:hint="eastAsia"/>
          <w:kern w:val="0"/>
          <w:szCs w:val="21"/>
        </w:rPr>
      </w:pPr>
      <w:r w:rsidRPr="006941ED">
        <w:rPr>
          <w:rFonts w:ascii="宋体" w:eastAsia="宋体" w:hAnsi="宋体" w:hint="eastAsia"/>
          <w:kern w:val="0"/>
          <w:szCs w:val="21"/>
        </w:rPr>
        <w:t>破产法的核心目标之一，是在债务人</w:t>
      </w:r>
      <w:r w:rsidR="007A08F0">
        <w:rPr>
          <w:rFonts w:ascii="宋体" w:eastAsia="宋体" w:hAnsi="宋体" w:hint="eastAsia"/>
          <w:kern w:val="0"/>
          <w:szCs w:val="21"/>
        </w:rPr>
        <w:t>无法</w:t>
      </w:r>
      <w:r w:rsidRPr="006941ED">
        <w:rPr>
          <w:rFonts w:ascii="宋体" w:eastAsia="宋体" w:hAnsi="宋体" w:hint="eastAsia"/>
          <w:kern w:val="0"/>
          <w:szCs w:val="21"/>
        </w:rPr>
        <w:t>清偿全部</w:t>
      </w:r>
      <w:r w:rsidR="007A08F0">
        <w:rPr>
          <w:rFonts w:ascii="宋体" w:eastAsia="宋体" w:hAnsi="宋体" w:hint="eastAsia"/>
          <w:kern w:val="0"/>
          <w:szCs w:val="21"/>
        </w:rPr>
        <w:t>债务</w:t>
      </w:r>
      <w:r w:rsidRPr="006941ED">
        <w:rPr>
          <w:rFonts w:ascii="宋体" w:eastAsia="宋体" w:hAnsi="宋体" w:hint="eastAsia"/>
          <w:kern w:val="0"/>
          <w:szCs w:val="21"/>
        </w:rPr>
        <w:t>时，通过对债权进行分类，最终使债权人公平、有序地受偿。但是在实践中，债务人与债权人之间债权债务关系的性质、产生原因以及法律后果不尽相同，因此</w:t>
      </w:r>
      <w:r w:rsidR="00BD10BB">
        <w:rPr>
          <w:rFonts w:ascii="宋体" w:eastAsia="宋体" w:hAnsi="宋体" w:hint="eastAsia"/>
          <w:kern w:val="0"/>
          <w:szCs w:val="21"/>
        </w:rPr>
        <w:t>破产法设置了</w:t>
      </w:r>
      <w:r w:rsidRPr="006941ED">
        <w:rPr>
          <w:rFonts w:ascii="宋体" w:eastAsia="宋体" w:hAnsi="宋体" w:hint="eastAsia"/>
          <w:kern w:val="0"/>
          <w:szCs w:val="21"/>
        </w:rPr>
        <w:t>清偿顺位</w:t>
      </w:r>
      <w:r w:rsidR="00FA203E">
        <w:rPr>
          <w:rFonts w:ascii="宋体" w:eastAsia="宋体" w:hAnsi="宋体" w:hint="eastAsia"/>
          <w:kern w:val="0"/>
          <w:szCs w:val="21"/>
        </w:rPr>
        <w:t>制度</w:t>
      </w:r>
      <w:r w:rsidRPr="006941ED">
        <w:rPr>
          <w:rFonts w:ascii="宋体" w:eastAsia="宋体" w:hAnsi="宋体" w:hint="eastAsia"/>
          <w:kern w:val="0"/>
          <w:szCs w:val="21"/>
        </w:rPr>
        <w:t>。</w:t>
      </w:r>
    </w:p>
    <w:p w14:paraId="3459DF0C" w14:textId="134EC833" w:rsidR="00A1169F" w:rsidRDefault="005D139C" w:rsidP="007950AF">
      <w:pPr>
        <w:widowControl/>
        <w:spacing w:after="200" w:line="360" w:lineRule="auto"/>
        <w:ind w:firstLine="420"/>
        <w:jc w:val="left"/>
        <w:rPr>
          <w:rFonts w:ascii="宋体" w:eastAsia="宋体" w:hAnsi="宋体" w:hint="eastAsia"/>
          <w:kern w:val="0"/>
          <w:szCs w:val="21"/>
        </w:rPr>
      </w:pPr>
      <w:r>
        <w:rPr>
          <w:rFonts w:ascii="宋体" w:eastAsia="宋体" w:hAnsi="宋体" w:hint="eastAsia"/>
          <w:kern w:val="0"/>
          <w:szCs w:val="21"/>
        </w:rPr>
        <w:t>破产清偿顺位，</w:t>
      </w:r>
      <w:r w:rsidR="001F4A98">
        <w:rPr>
          <w:rFonts w:ascii="宋体" w:eastAsia="宋体" w:hAnsi="宋体" w:hint="eastAsia"/>
          <w:kern w:val="0"/>
          <w:szCs w:val="21"/>
        </w:rPr>
        <w:t>是</w:t>
      </w:r>
      <w:r>
        <w:rPr>
          <w:rFonts w:ascii="宋体" w:eastAsia="宋体" w:hAnsi="宋体" w:hint="eastAsia"/>
          <w:kern w:val="0"/>
          <w:szCs w:val="21"/>
        </w:rPr>
        <w:t>指在债务人财产不足以清偿全部债务时，</w:t>
      </w:r>
      <w:r w:rsidR="001F4A98">
        <w:rPr>
          <w:rFonts w:ascii="宋体" w:eastAsia="宋体" w:hAnsi="宋体" w:hint="eastAsia"/>
          <w:kern w:val="0"/>
          <w:szCs w:val="21"/>
        </w:rPr>
        <w:t>破产管理人对各类债权进行清偿的法定顺位次序。</w:t>
      </w:r>
      <w:r w:rsidR="00FA203E">
        <w:rPr>
          <w:rFonts w:ascii="宋体" w:eastAsia="宋体" w:hAnsi="宋体" w:hint="eastAsia"/>
          <w:kern w:val="0"/>
          <w:szCs w:val="21"/>
        </w:rPr>
        <w:t>根据《企业破产法》的规定，</w:t>
      </w:r>
      <w:r w:rsidR="00994E06">
        <w:rPr>
          <w:rFonts w:ascii="宋体" w:eastAsia="宋体" w:hAnsi="宋体" w:hint="eastAsia"/>
          <w:kern w:val="0"/>
          <w:szCs w:val="21"/>
        </w:rPr>
        <w:t>在将</w:t>
      </w:r>
      <w:r>
        <w:rPr>
          <w:rFonts w:ascii="宋体" w:eastAsia="宋体" w:hAnsi="宋体" w:hint="eastAsia"/>
          <w:kern w:val="0"/>
          <w:szCs w:val="21"/>
        </w:rPr>
        <w:t>别除权标的物剔除后，</w:t>
      </w:r>
      <w:r w:rsidR="00FA203E">
        <w:rPr>
          <w:rFonts w:ascii="宋体" w:eastAsia="宋体" w:hAnsi="宋体" w:hint="eastAsia"/>
          <w:kern w:val="0"/>
          <w:szCs w:val="21"/>
        </w:rPr>
        <w:t>破产债权按照</w:t>
      </w:r>
      <w:r w:rsidR="00994E06">
        <w:rPr>
          <w:rFonts w:ascii="宋体" w:eastAsia="宋体" w:hAnsi="宋体" w:hint="eastAsia"/>
          <w:kern w:val="0"/>
          <w:szCs w:val="21"/>
        </w:rPr>
        <w:t>以下</w:t>
      </w:r>
      <w:r w:rsidR="00FA203E">
        <w:rPr>
          <w:rFonts w:ascii="宋体" w:eastAsia="宋体" w:hAnsi="宋体" w:hint="eastAsia"/>
          <w:kern w:val="0"/>
          <w:szCs w:val="21"/>
        </w:rPr>
        <w:t>顺序进行清偿：</w:t>
      </w:r>
      <w:r w:rsidR="00994E06">
        <w:rPr>
          <w:rFonts w:ascii="宋体" w:eastAsia="宋体" w:hAnsi="宋体" w:hint="eastAsia"/>
          <w:kern w:val="0"/>
          <w:szCs w:val="21"/>
        </w:rPr>
        <w:t>1</w:t>
      </w:r>
      <w:r w:rsidR="003C19D0">
        <w:rPr>
          <w:rFonts w:ascii="宋体" w:eastAsia="宋体" w:hAnsi="宋体" w:hint="eastAsia"/>
          <w:kern w:val="0"/>
          <w:szCs w:val="21"/>
        </w:rPr>
        <w:t>.</w:t>
      </w:r>
      <w:r w:rsidR="00994E06">
        <w:rPr>
          <w:rFonts w:ascii="宋体" w:eastAsia="宋体" w:hAnsi="宋体" w:hint="eastAsia"/>
          <w:kern w:val="0"/>
          <w:szCs w:val="21"/>
        </w:rPr>
        <w:t>破产费用和共益债务；2</w:t>
      </w:r>
      <w:r w:rsidR="003C19D0">
        <w:rPr>
          <w:rFonts w:ascii="宋体" w:eastAsia="宋体" w:hAnsi="宋体" w:hint="eastAsia"/>
          <w:kern w:val="0"/>
          <w:szCs w:val="21"/>
        </w:rPr>
        <w:t>.</w:t>
      </w:r>
      <w:r w:rsidR="00994E06">
        <w:rPr>
          <w:rFonts w:ascii="宋体" w:eastAsia="宋体" w:hAnsi="宋体" w:hint="eastAsia"/>
          <w:kern w:val="0"/>
          <w:szCs w:val="21"/>
        </w:rPr>
        <w:t>职工债权；3</w:t>
      </w:r>
      <w:r w:rsidR="003C19D0">
        <w:rPr>
          <w:rFonts w:ascii="宋体" w:eastAsia="宋体" w:hAnsi="宋体" w:hint="eastAsia"/>
          <w:kern w:val="0"/>
          <w:szCs w:val="21"/>
        </w:rPr>
        <w:t>.</w:t>
      </w:r>
      <w:r w:rsidR="00994E06">
        <w:rPr>
          <w:rFonts w:ascii="宋体" w:eastAsia="宋体" w:hAnsi="宋体" w:hint="eastAsia"/>
          <w:kern w:val="0"/>
          <w:szCs w:val="21"/>
        </w:rPr>
        <w:t>税收债权；4</w:t>
      </w:r>
      <w:r w:rsidR="003C19D0">
        <w:rPr>
          <w:rFonts w:ascii="宋体" w:eastAsia="宋体" w:hAnsi="宋体" w:hint="eastAsia"/>
          <w:kern w:val="0"/>
          <w:szCs w:val="21"/>
        </w:rPr>
        <w:t>.</w:t>
      </w:r>
      <w:r w:rsidR="00994E06">
        <w:rPr>
          <w:rFonts w:ascii="宋体" w:eastAsia="宋体" w:hAnsi="宋体" w:hint="eastAsia"/>
          <w:kern w:val="0"/>
          <w:szCs w:val="21"/>
        </w:rPr>
        <w:t>普通债权。</w:t>
      </w:r>
      <w:r>
        <w:rPr>
          <w:rStyle w:val="af4"/>
          <w:rFonts w:ascii="宋体" w:eastAsia="Yu Mincho" w:hAnsi="宋体" w:hint="eastAsia"/>
          <w:kern w:val="0"/>
          <w:szCs w:val="21"/>
        </w:rPr>
        <w:footnoteReference w:id="1"/>
      </w:r>
      <w:r w:rsidR="001F4A98">
        <w:rPr>
          <w:rFonts w:ascii="宋体" w:eastAsia="宋体" w:hAnsi="宋体"/>
          <w:kern w:val="0"/>
          <w:szCs w:val="21"/>
        </w:rPr>
        <w:t xml:space="preserve"> </w:t>
      </w:r>
    </w:p>
    <w:p w14:paraId="05C47A10" w14:textId="733FB053" w:rsidR="00D04606" w:rsidRDefault="001F4A98" w:rsidP="007950AF">
      <w:pPr>
        <w:widowControl/>
        <w:spacing w:after="200" w:line="360" w:lineRule="auto"/>
        <w:ind w:firstLine="420"/>
        <w:jc w:val="left"/>
        <w:rPr>
          <w:rFonts w:ascii="宋体" w:eastAsia="宋体" w:hAnsi="宋体" w:hint="eastAsia"/>
          <w:kern w:val="0"/>
          <w:szCs w:val="21"/>
        </w:rPr>
      </w:pPr>
      <w:r>
        <w:rPr>
          <w:rFonts w:ascii="宋体" w:eastAsia="宋体" w:hAnsi="宋体" w:hint="eastAsia"/>
          <w:kern w:val="0"/>
          <w:szCs w:val="21"/>
        </w:rPr>
        <w:t>破产劣后债权，则是指在破产程序中基于法律规定、合同约定或经法院裁量，被安排在普通债权之后受偿的债权</w:t>
      </w:r>
      <w:r w:rsidR="00D04606">
        <w:rPr>
          <w:rFonts w:ascii="宋体" w:eastAsia="宋体" w:hAnsi="宋体" w:hint="eastAsia"/>
          <w:kern w:val="0"/>
          <w:szCs w:val="21"/>
        </w:rPr>
        <w:t>，例如股东债权、惩罚性赔偿债权以及进入破产程序后停止计算的利息等。</w:t>
      </w:r>
      <w:r w:rsidR="00A1169F">
        <w:rPr>
          <w:rFonts w:ascii="宋体" w:eastAsia="宋体" w:hAnsi="宋体" w:hint="eastAsia"/>
          <w:kern w:val="0"/>
          <w:szCs w:val="21"/>
        </w:rPr>
        <w:t>破产劣后债权</w:t>
      </w:r>
      <w:r w:rsidR="00833995">
        <w:rPr>
          <w:rFonts w:ascii="宋体" w:eastAsia="宋体" w:hAnsi="宋体" w:hint="eastAsia"/>
          <w:kern w:val="0"/>
          <w:szCs w:val="21"/>
        </w:rPr>
        <w:t>是对</w:t>
      </w:r>
      <w:r w:rsidR="00833995" w:rsidRPr="00833995">
        <w:rPr>
          <w:rFonts w:ascii="宋体" w:eastAsia="宋体" w:hAnsi="宋体" w:hint="eastAsia"/>
          <w:kern w:val="0"/>
          <w:szCs w:val="21"/>
        </w:rPr>
        <w:t>债权平等原则</w:t>
      </w:r>
      <w:r w:rsidR="00833995">
        <w:rPr>
          <w:rFonts w:ascii="宋体" w:eastAsia="宋体" w:hAnsi="宋体" w:hint="eastAsia"/>
          <w:kern w:val="0"/>
          <w:szCs w:val="21"/>
        </w:rPr>
        <w:t>（</w:t>
      </w:r>
      <w:proofErr w:type="spellStart"/>
      <w:r w:rsidR="00833995" w:rsidRPr="00833995">
        <w:rPr>
          <w:rFonts w:ascii="宋体" w:eastAsia="宋体" w:hAnsi="宋体" w:hint="eastAsia"/>
          <w:kern w:val="0"/>
          <w:szCs w:val="21"/>
        </w:rPr>
        <w:t>pari</w:t>
      </w:r>
      <w:proofErr w:type="spellEnd"/>
      <w:r w:rsidR="00833995" w:rsidRPr="00833995">
        <w:rPr>
          <w:rFonts w:ascii="宋体" w:eastAsia="宋体" w:hAnsi="宋体" w:hint="eastAsia"/>
          <w:kern w:val="0"/>
          <w:szCs w:val="21"/>
        </w:rPr>
        <w:t xml:space="preserve"> passu原则）的一种修正</w:t>
      </w:r>
      <w:r w:rsidR="00833995">
        <w:rPr>
          <w:rFonts w:ascii="宋体" w:eastAsia="宋体" w:hAnsi="宋体" w:hint="eastAsia"/>
          <w:kern w:val="0"/>
          <w:szCs w:val="21"/>
        </w:rPr>
        <w:t>。</w:t>
      </w:r>
      <w:r w:rsidR="00833995" w:rsidRPr="00833995">
        <w:rPr>
          <w:rFonts w:ascii="宋体" w:eastAsia="宋体" w:hAnsi="宋体" w:hint="eastAsia"/>
          <w:kern w:val="0"/>
          <w:szCs w:val="21"/>
        </w:rPr>
        <w:t>传统的债权平等主义要求同一顺位的债权人按比例平等受偿，但这种形式上的平等可能在特定情形下导致实质不公平。当某些债权因其性质、产生原因或债权人的特殊地位而不宜与普通债权同等受偿时，将其清偿顺位后置便具有了正当性基础。</w:t>
      </w:r>
    </w:p>
    <w:p w14:paraId="1E8E0D54" w14:textId="3D2DAC28" w:rsidR="00A7797E" w:rsidRPr="003C19D0" w:rsidRDefault="003C19D0" w:rsidP="007950AF">
      <w:pPr>
        <w:widowControl/>
        <w:spacing w:after="200" w:line="360" w:lineRule="auto"/>
        <w:jc w:val="left"/>
        <w:rPr>
          <w:rFonts w:ascii="黑体" w:eastAsia="黑体" w:hAnsi="黑体" w:hint="eastAsia"/>
          <w:b/>
          <w:kern w:val="0"/>
          <w:sz w:val="24"/>
        </w:rPr>
      </w:pPr>
      <w:r w:rsidRPr="003C19D0">
        <w:rPr>
          <w:rFonts w:ascii="黑体" w:eastAsia="黑体" w:hAnsi="黑体" w:hint="eastAsia"/>
          <w:b/>
          <w:kern w:val="0"/>
          <w:sz w:val="24"/>
        </w:rPr>
        <w:t>（一）劣后债权的分类</w:t>
      </w:r>
    </w:p>
    <w:p w14:paraId="393C189B" w14:textId="7B72F781" w:rsidR="003C19D0" w:rsidRDefault="003C19D0" w:rsidP="007950AF">
      <w:pPr>
        <w:widowControl/>
        <w:spacing w:after="200" w:line="360" w:lineRule="auto"/>
        <w:ind w:firstLine="420"/>
        <w:jc w:val="left"/>
        <w:rPr>
          <w:rFonts w:ascii="宋体" w:eastAsia="宋体" w:hAnsi="宋体" w:hint="eastAsia"/>
          <w:kern w:val="0"/>
          <w:szCs w:val="21"/>
        </w:rPr>
      </w:pPr>
      <w:r w:rsidRPr="003C19D0">
        <w:rPr>
          <w:rFonts w:ascii="宋体" w:eastAsia="宋体" w:hAnsi="宋体" w:hint="eastAsia"/>
          <w:kern w:val="0"/>
          <w:szCs w:val="21"/>
        </w:rPr>
        <w:t>根据劣后事由的不同，劣后债权可以分为以下三种基本类型：</w:t>
      </w:r>
    </w:p>
    <w:p w14:paraId="5813F90B" w14:textId="3A55D5C0" w:rsidR="003C19D0" w:rsidRPr="006F1EDE" w:rsidRDefault="006F1EDE" w:rsidP="007950AF">
      <w:pPr>
        <w:widowControl/>
        <w:spacing w:after="200" w:line="360" w:lineRule="auto"/>
        <w:jc w:val="left"/>
        <w:rPr>
          <w:rFonts w:ascii="宋体" w:eastAsia="宋体" w:hAnsi="宋体" w:hint="eastAsia"/>
          <w:kern w:val="0"/>
          <w:szCs w:val="21"/>
        </w:rPr>
      </w:pPr>
      <w:r w:rsidRPr="006F1EDE">
        <w:rPr>
          <w:rFonts w:ascii="宋体" w:eastAsia="宋体" w:hAnsi="宋体" w:hint="eastAsia"/>
          <w:kern w:val="0"/>
          <w:szCs w:val="21"/>
        </w:rPr>
        <w:tab/>
        <w:t>1</w:t>
      </w:r>
      <w:r>
        <w:rPr>
          <w:rFonts w:ascii="宋体" w:eastAsia="宋体" w:hAnsi="宋体" w:hint="eastAsia"/>
          <w:kern w:val="0"/>
          <w:szCs w:val="21"/>
        </w:rPr>
        <w:t>．</w:t>
      </w:r>
      <w:r w:rsidRPr="006F1EDE">
        <w:rPr>
          <w:rFonts w:ascii="宋体" w:eastAsia="宋体" w:hAnsi="宋体" w:hint="eastAsia"/>
          <w:kern w:val="0"/>
          <w:szCs w:val="21"/>
        </w:rPr>
        <w:t>法定劣后债权</w:t>
      </w:r>
    </w:p>
    <w:p w14:paraId="71A3C6FC" w14:textId="134EB024" w:rsidR="006F1EDE" w:rsidRDefault="006F1EDE" w:rsidP="007950AF">
      <w:pPr>
        <w:widowControl/>
        <w:spacing w:after="200" w:line="360" w:lineRule="auto"/>
        <w:ind w:firstLine="420"/>
        <w:jc w:val="left"/>
        <w:rPr>
          <w:rFonts w:ascii="宋体" w:eastAsia="宋体" w:hAnsi="宋体" w:hint="eastAsia"/>
          <w:kern w:val="0"/>
          <w:szCs w:val="21"/>
        </w:rPr>
      </w:pPr>
      <w:r w:rsidRPr="006F1EDE">
        <w:rPr>
          <w:rFonts w:ascii="宋体" w:eastAsia="宋体" w:hAnsi="宋体" w:hint="eastAsia"/>
          <w:kern w:val="0"/>
          <w:szCs w:val="21"/>
        </w:rPr>
        <w:t>法定劣后债权</w:t>
      </w:r>
      <w:r>
        <w:rPr>
          <w:rFonts w:ascii="宋体" w:eastAsia="宋体" w:hAnsi="宋体" w:hint="eastAsia"/>
          <w:kern w:val="0"/>
          <w:szCs w:val="21"/>
        </w:rPr>
        <w:t>即</w:t>
      </w:r>
      <w:r w:rsidRPr="006F1EDE">
        <w:rPr>
          <w:rFonts w:ascii="宋体" w:eastAsia="宋体" w:hAnsi="宋体" w:hint="eastAsia"/>
          <w:kern w:val="0"/>
          <w:szCs w:val="21"/>
        </w:rPr>
        <w:t>法律直接规定其清偿顺位应劣后于普通债权的债权类型</w:t>
      </w:r>
      <w:r w:rsidR="00132D3B">
        <w:rPr>
          <w:rFonts w:ascii="宋体" w:eastAsia="宋体" w:hAnsi="宋体" w:hint="eastAsia"/>
          <w:kern w:val="0"/>
          <w:szCs w:val="21"/>
        </w:rPr>
        <w:t>，体现了</w:t>
      </w:r>
      <w:r w:rsidR="00132D3B" w:rsidRPr="00132D3B">
        <w:rPr>
          <w:rFonts w:ascii="宋体" w:eastAsia="宋体" w:hAnsi="宋体"/>
          <w:kern w:val="0"/>
          <w:szCs w:val="21"/>
        </w:rPr>
        <w:t>立法者对某类债权的统一价值判断。例如惩罚性债权之所以劣后，是因为其功能在于制裁而非补偿。若允许其与普通债权同等受偿，将导致“惩罚利益优先于补偿利益”的价值错位。</w:t>
      </w:r>
      <w:r>
        <w:rPr>
          <w:rFonts w:ascii="宋体" w:eastAsia="宋体" w:hAnsi="宋体" w:hint="eastAsia"/>
          <w:kern w:val="0"/>
          <w:szCs w:val="21"/>
        </w:rPr>
        <w:t>我国现行法律中，并没有对破产劣后债权进行规定，原因在于实践中，当企业进入破产程序后通常已无多少财产可用于分配，普通债权的清偿率本就不高，更何况被置于最后受偿的劣后债权，因此法律对于这类受偿机会极小的债权并没有做单独规定的必要。而对《企业破产法》未作规定的部分，《破产审议纪要》做出了规定：1.</w:t>
      </w:r>
      <w:r w:rsidRPr="00D04606">
        <w:rPr>
          <w:rFonts w:ascii="宋体" w:eastAsia="宋体" w:hAnsi="宋体" w:hint="eastAsia"/>
          <w:kern w:val="0"/>
          <w:szCs w:val="21"/>
        </w:rPr>
        <w:t>人身损害赔偿债权优先于</w:t>
      </w:r>
      <w:r w:rsidRPr="00D04606">
        <w:rPr>
          <w:rFonts w:ascii="宋体" w:eastAsia="宋体" w:hAnsi="宋体" w:hint="eastAsia"/>
          <w:kern w:val="0"/>
          <w:szCs w:val="21"/>
        </w:rPr>
        <w:lastRenderedPageBreak/>
        <w:t>财产性债权</w:t>
      </w:r>
      <w:r>
        <w:rPr>
          <w:rFonts w:ascii="宋体" w:eastAsia="宋体" w:hAnsi="宋体" w:hint="eastAsia"/>
          <w:kern w:val="0"/>
          <w:szCs w:val="21"/>
        </w:rPr>
        <w:t>清偿</w:t>
      </w:r>
      <w:r w:rsidRPr="00D04606">
        <w:rPr>
          <w:rFonts w:ascii="宋体" w:eastAsia="宋体" w:hAnsi="宋体" w:hint="eastAsia"/>
          <w:kern w:val="0"/>
          <w:szCs w:val="21"/>
        </w:rPr>
        <w:t>、私法债权优先于公法债权</w:t>
      </w:r>
      <w:r>
        <w:rPr>
          <w:rFonts w:ascii="宋体" w:eastAsia="宋体" w:hAnsi="宋体" w:hint="eastAsia"/>
          <w:kern w:val="0"/>
          <w:szCs w:val="21"/>
        </w:rPr>
        <w:t>清偿</w:t>
      </w:r>
      <w:r w:rsidRPr="00D04606">
        <w:rPr>
          <w:rFonts w:ascii="宋体" w:eastAsia="宋体" w:hAnsi="宋体" w:hint="eastAsia"/>
          <w:kern w:val="0"/>
          <w:szCs w:val="21"/>
        </w:rPr>
        <w:t>、补偿性债权优先于惩罚性债权</w:t>
      </w:r>
      <w:r>
        <w:rPr>
          <w:rFonts w:ascii="宋体" w:eastAsia="宋体" w:hAnsi="宋体" w:hint="eastAsia"/>
          <w:kern w:val="0"/>
          <w:szCs w:val="21"/>
        </w:rPr>
        <w:t>清偿；2.</w:t>
      </w:r>
      <w:r w:rsidRPr="00D04606">
        <w:rPr>
          <w:rFonts w:ascii="宋体" w:eastAsia="宋体" w:hAnsi="宋体" w:hint="eastAsia"/>
          <w:kern w:val="0"/>
          <w:szCs w:val="21"/>
        </w:rPr>
        <w:t>关联企业成员之间不当利用关联关系形成的债权，应当劣后于其他普通债权顺序清偿</w:t>
      </w:r>
      <w:r>
        <w:rPr>
          <w:rFonts w:ascii="宋体" w:eastAsia="宋体" w:hAnsi="宋体" w:hint="eastAsia"/>
          <w:kern w:val="0"/>
          <w:szCs w:val="21"/>
        </w:rPr>
        <w:t>。</w:t>
      </w:r>
      <w:r>
        <w:rPr>
          <w:rStyle w:val="af4"/>
          <w:rFonts w:ascii="宋体" w:hAnsi="宋体" w:hint="eastAsia"/>
          <w:kern w:val="0"/>
          <w:szCs w:val="21"/>
        </w:rPr>
        <w:footnoteReference w:id="2"/>
      </w:r>
    </w:p>
    <w:p w14:paraId="242099FE" w14:textId="1C7856BB" w:rsidR="006342DD" w:rsidRDefault="006F1EDE" w:rsidP="007950AF">
      <w:pPr>
        <w:widowControl/>
        <w:spacing w:after="200" w:line="360" w:lineRule="auto"/>
        <w:ind w:firstLine="420"/>
        <w:jc w:val="left"/>
        <w:rPr>
          <w:rFonts w:ascii="宋体" w:eastAsia="宋体" w:hAnsi="宋体" w:hint="eastAsia"/>
          <w:kern w:val="0"/>
          <w:szCs w:val="21"/>
        </w:rPr>
      </w:pPr>
      <w:r>
        <w:rPr>
          <w:rFonts w:ascii="宋体" w:eastAsia="宋体" w:hAnsi="宋体" w:hint="eastAsia"/>
          <w:kern w:val="0"/>
          <w:szCs w:val="21"/>
        </w:rPr>
        <w:t>美国破产法第</w:t>
      </w:r>
      <w:r w:rsidR="00A13244">
        <w:rPr>
          <w:rFonts w:ascii="宋体" w:eastAsia="宋体" w:hAnsi="宋体" w:hint="eastAsia"/>
          <w:kern w:val="0"/>
          <w:szCs w:val="21"/>
        </w:rPr>
        <w:t>724条</w:t>
      </w:r>
      <w:r w:rsidR="00FA2159">
        <w:rPr>
          <w:rFonts w:ascii="宋体" w:eastAsia="宋体" w:hAnsi="宋体" w:hint="eastAsia"/>
          <w:kern w:val="0"/>
          <w:szCs w:val="21"/>
        </w:rPr>
        <w:t>b款</w:t>
      </w:r>
      <w:r w:rsidR="006342DD">
        <w:rPr>
          <w:rFonts w:ascii="宋体" w:eastAsia="宋体" w:hAnsi="宋体" w:hint="eastAsia"/>
          <w:kern w:val="0"/>
          <w:szCs w:val="21"/>
        </w:rPr>
        <w:t>和</w:t>
      </w:r>
      <w:r w:rsidR="00A13244">
        <w:rPr>
          <w:rFonts w:ascii="宋体" w:eastAsia="宋体" w:hAnsi="宋体" w:hint="eastAsia"/>
          <w:kern w:val="0"/>
          <w:szCs w:val="21"/>
        </w:rPr>
        <w:t>第726</w:t>
      </w:r>
      <w:r w:rsidR="00FA2159">
        <w:rPr>
          <w:rFonts w:ascii="宋体" w:eastAsia="宋体" w:hAnsi="宋体" w:hint="eastAsia"/>
          <w:kern w:val="0"/>
          <w:szCs w:val="21"/>
        </w:rPr>
        <w:t>条</w:t>
      </w:r>
      <w:r w:rsidR="00A13244">
        <w:rPr>
          <w:rFonts w:ascii="宋体" w:eastAsia="宋体" w:hAnsi="宋体" w:hint="eastAsia"/>
          <w:kern w:val="0"/>
          <w:szCs w:val="21"/>
        </w:rPr>
        <w:t>a</w:t>
      </w:r>
      <w:r w:rsidR="00FA2159">
        <w:rPr>
          <w:rFonts w:ascii="宋体" w:eastAsia="宋体" w:hAnsi="宋体" w:hint="eastAsia"/>
          <w:kern w:val="0"/>
          <w:szCs w:val="21"/>
        </w:rPr>
        <w:t>款第</w:t>
      </w:r>
      <w:r w:rsidR="00A13244">
        <w:rPr>
          <w:rFonts w:ascii="宋体" w:eastAsia="宋体" w:hAnsi="宋体" w:hint="eastAsia"/>
          <w:kern w:val="0"/>
          <w:szCs w:val="21"/>
        </w:rPr>
        <w:t>3</w:t>
      </w:r>
      <w:r w:rsidR="00FA2159">
        <w:rPr>
          <w:rFonts w:ascii="宋体" w:eastAsia="宋体" w:hAnsi="宋体" w:hint="eastAsia"/>
          <w:kern w:val="0"/>
          <w:szCs w:val="21"/>
        </w:rPr>
        <w:t>项、第</w:t>
      </w:r>
      <w:r w:rsidR="006342DD">
        <w:rPr>
          <w:rFonts w:ascii="宋体" w:eastAsia="宋体" w:hAnsi="宋体" w:hint="eastAsia"/>
          <w:kern w:val="0"/>
          <w:szCs w:val="21"/>
        </w:rPr>
        <w:t>4</w:t>
      </w:r>
      <w:r w:rsidR="00FA2159">
        <w:rPr>
          <w:rFonts w:ascii="宋体" w:eastAsia="宋体" w:hAnsi="宋体" w:hint="eastAsia"/>
          <w:kern w:val="0"/>
          <w:szCs w:val="21"/>
        </w:rPr>
        <w:t>项</w:t>
      </w:r>
      <w:r w:rsidR="006342DD">
        <w:rPr>
          <w:rFonts w:ascii="宋体" w:eastAsia="宋体" w:hAnsi="宋体" w:hint="eastAsia"/>
          <w:kern w:val="0"/>
          <w:szCs w:val="21"/>
        </w:rPr>
        <w:t>规定了三种劣后债权情况，其中</w:t>
      </w:r>
      <w:r w:rsidR="00FA2159">
        <w:rPr>
          <w:rFonts w:ascii="宋体" w:eastAsia="宋体" w:hAnsi="宋体" w:hint="eastAsia"/>
          <w:kern w:val="0"/>
          <w:szCs w:val="21"/>
        </w:rPr>
        <w:t>第724条b款</w:t>
      </w:r>
      <w:r w:rsidR="006342DD">
        <w:rPr>
          <w:rFonts w:ascii="宋体" w:eastAsia="宋体" w:hAnsi="宋体" w:hint="eastAsia"/>
          <w:kern w:val="0"/>
          <w:szCs w:val="21"/>
        </w:rPr>
        <w:t>规定了特定情况下税收优先权劣后于特定优先债权，</w:t>
      </w:r>
      <w:r w:rsidR="00FA2159">
        <w:rPr>
          <w:rFonts w:ascii="宋体" w:eastAsia="宋体" w:hAnsi="宋体" w:hint="eastAsia"/>
          <w:kern w:val="0"/>
          <w:szCs w:val="21"/>
        </w:rPr>
        <w:t>第726条a款第3项</w:t>
      </w:r>
      <w:r w:rsidR="006342DD">
        <w:rPr>
          <w:rFonts w:ascii="宋体" w:eastAsia="宋体" w:hAnsi="宋体" w:hint="eastAsia"/>
          <w:kern w:val="0"/>
          <w:szCs w:val="21"/>
        </w:rPr>
        <w:t>规定了迟延申报的债权劣后于按时申报的债权以及优先顺位的债权，</w:t>
      </w:r>
      <w:r w:rsidR="00FA2159">
        <w:rPr>
          <w:rFonts w:ascii="宋体" w:eastAsia="宋体" w:hAnsi="宋体" w:hint="eastAsia"/>
          <w:kern w:val="0"/>
          <w:szCs w:val="21"/>
        </w:rPr>
        <w:t>第726条a款第4项</w:t>
      </w:r>
      <w:r w:rsidR="006342DD">
        <w:rPr>
          <w:rFonts w:ascii="宋体" w:eastAsia="宋体" w:hAnsi="宋体" w:hint="eastAsia"/>
          <w:kern w:val="0"/>
          <w:szCs w:val="21"/>
        </w:rPr>
        <w:t>规定了基于惩罚性赔偿所生的债权。</w:t>
      </w:r>
    </w:p>
    <w:p w14:paraId="235CA6E5" w14:textId="0585790D" w:rsidR="00970BA5" w:rsidRDefault="006342DD" w:rsidP="007950AF">
      <w:pPr>
        <w:widowControl/>
        <w:spacing w:after="200" w:line="360" w:lineRule="auto"/>
        <w:ind w:firstLine="420"/>
        <w:jc w:val="left"/>
        <w:rPr>
          <w:rFonts w:ascii="宋体" w:eastAsia="宋体" w:hAnsi="宋体" w:hint="eastAsia"/>
          <w:kern w:val="0"/>
          <w:szCs w:val="21"/>
        </w:rPr>
      </w:pPr>
      <w:r>
        <w:rPr>
          <w:rFonts w:ascii="宋体" w:eastAsia="宋体" w:hAnsi="宋体" w:hint="eastAsia"/>
          <w:kern w:val="0"/>
          <w:szCs w:val="21"/>
        </w:rPr>
        <w:t>2.</w:t>
      </w:r>
      <w:r w:rsidR="00970BA5">
        <w:rPr>
          <w:rFonts w:ascii="宋体" w:eastAsia="宋体" w:hAnsi="宋体" w:hint="eastAsia"/>
          <w:kern w:val="0"/>
          <w:szCs w:val="21"/>
        </w:rPr>
        <w:t>约定劣后债权</w:t>
      </w:r>
    </w:p>
    <w:p w14:paraId="7A501997" w14:textId="548EEFDF" w:rsidR="00970BA5" w:rsidRPr="00271FE4" w:rsidRDefault="00970BA5" w:rsidP="007950AF">
      <w:pPr>
        <w:widowControl/>
        <w:spacing w:after="200" w:line="360" w:lineRule="auto"/>
        <w:ind w:firstLine="420"/>
        <w:jc w:val="left"/>
        <w:rPr>
          <w:rFonts w:hint="eastAsia"/>
        </w:rPr>
      </w:pPr>
      <w:r>
        <w:rPr>
          <w:rFonts w:ascii="宋体" w:eastAsia="宋体" w:hAnsi="宋体" w:hint="eastAsia"/>
          <w:kern w:val="0"/>
          <w:szCs w:val="21"/>
        </w:rPr>
        <w:t>约定的劣后债权是指债权人与债务人达成约定，债权人对债务人享有的债权在破产程序中劣后于其他普通债权进行受偿，除非该约定因违反法律的强制性规定、公序良俗原则或因损害第三人利益而无效</w:t>
      </w:r>
      <w:r w:rsidR="007A08F0">
        <w:rPr>
          <w:rFonts w:ascii="宋体" w:eastAsia="宋体" w:hAnsi="宋体" w:hint="eastAsia"/>
          <w:kern w:val="0"/>
          <w:szCs w:val="21"/>
        </w:rPr>
        <w:t>。</w:t>
      </w:r>
      <w:r>
        <w:rPr>
          <w:rFonts w:ascii="宋体" w:eastAsia="宋体" w:hAnsi="宋体" w:hint="eastAsia"/>
          <w:kern w:val="0"/>
          <w:szCs w:val="21"/>
        </w:rPr>
        <w:t>在破产领域内，约定的劣后债权主要有以下三种情形，分别为：1.破产前因债务人与债权人签订劣后协议而产生的普通债权；2.次级债券产生的劣后债权；3.破产重整情形下</w:t>
      </w:r>
      <w:r w:rsidR="006C2F3E">
        <w:rPr>
          <w:rFonts w:ascii="宋体" w:eastAsia="宋体" w:hAnsi="宋体" w:hint="eastAsia"/>
          <w:kern w:val="0"/>
          <w:szCs w:val="21"/>
        </w:rPr>
        <w:t>债权人的债权劣后于</w:t>
      </w:r>
      <w:r w:rsidR="00C85BF4">
        <w:rPr>
          <w:rFonts w:ascii="宋体" w:eastAsia="宋体" w:hAnsi="宋体" w:hint="eastAsia"/>
          <w:kern w:val="0"/>
          <w:szCs w:val="21"/>
        </w:rPr>
        <w:t>投资者</w:t>
      </w:r>
      <w:r w:rsidR="006C2F3E">
        <w:rPr>
          <w:rFonts w:ascii="宋体" w:eastAsia="宋体" w:hAnsi="宋体" w:hint="eastAsia"/>
          <w:kern w:val="0"/>
          <w:szCs w:val="21"/>
        </w:rPr>
        <w:t>债权受偿。</w:t>
      </w:r>
    </w:p>
    <w:p w14:paraId="5CA91E6E" w14:textId="170186D3" w:rsidR="00FA2159" w:rsidRDefault="00970BA5" w:rsidP="007950AF">
      <w:pPr>
        <w:widowControl/>
        <w:spacing w:after="200" w:line="360" w:lineRule="auto"/>
        <w:ind w:firstLine="420"/>
        <w:jc w:val="left"/>
        <w:rPr>
          <w:rFonts w:ascii="宋体" w:eastAsia="宋体" w:hAnsi="宋体" w:hint="eastAsia"/>
          <w:kern w:val="0"/>
          <w:szCs w:val="21"/>
        </w:rPr>
      </w:pPr>
      <w:r w:rsidRPr="002A63F9">
        <w:rPr>
          <w:rFonts w:ascii="宋体" w:eastAsia="宋体" w:hAnsi="宋体" w:hint="eastAsia"/>
          <w:kern w:val="0"/>
          <w:szCs w:val="21"/>
        </w:rPr>
        <w:t>美国破产法第510条a款</w:t>
      </w:r>
      <w:r>
        <w:rPr>
          <w:rStyle w:val="af4"/>
          <w:rFonts w:ascii="宋体" w:eastAsia="宋体" w:hAnsi="宋体" w:hint="eastAsia"/>
          <w:kern w:val="0"/>
          <w:szCs w:val="21"/>
        </w:rPr>
        <w:footnoteReference w:id="3"/>
      </w:r>
      <w:r>
        <w:rPr>
          <w:rFonts w:ascii="宋体" w:eastAsia="宋体" w:hAnsi="宋体" w:hint="eastAsia"/>
          <w:kern w:val="0"/>
          <w:szCs w:val="21"/>
        </w:rPr>
        <w:t>承认了根据非破产法成立的有效劣后协议在破产程序中也具有法律效力</w:t>
      </w:r>
      <w:r w:rsidR="006C2F3E">
        <w:rPr>
          <w:rFonts w:ascii="宋体" w:eastAsia="宋体" w:hAnsi="宋体" w:hint="eastAsia"/>
          <w:kern w:val="0"/>
          <w:szCs w:val="21"/>
        </w:rPr>
        <w:t>，这在一部份上促进金融市场发行次级债券、激发金融市场活力。在破产重组案件中，为了使债务人能够重获新生，往往需要吸引新的债权人进行投资</w:t>
      </w:r>
      <w:r w:rsidR="00C85BF4">
        <w:rPr>
          <w:rFonts w:ascii="宋体" w:eastAsia="宋体" w:hAnsi="宋体" w:hint="eastAsia"/>
          <w:kern w:val="0"/>
          <w:szCs w:val="21"/>
        </w:rPr>
        <w:t>，为达成这一目的，债务人、债权人与投资者之间达成协议，允许投资者优先于债权人受偿。这一举措提高了投资者债权的清偿率，变相刺激其他投资者进行投资，新资金的注入也使得债权人债权的清偿率提高</w:t>
      </w:r>
      <w:r w:rsidR="00F462EE">
        <w:rPr>
          <w:rFonts w:ascii="宋体" w:eastAsia="宋体" w:hAnsi="宋体" w:hint="eastAsia"/>
          <w:kern w:val="0"/>
          <w:szCs w:val="21"/>
        </w:rPr>
        <w:t>，这也是债权人自甘劣后受偿的核心原因</w:t>
      </w:r>
      <w:r w:rsidR="00C85BF4">
        <w:rPr>
          <w:rFonts w:ascii="宋体" w:eastAsia="宋体" w:hAnsi="宋体" w:hint="eastAsia"/>
          <w:kern w:val="0"/>
          <w:szCs w:val="21"/>
        </w:rPr>
        <w:t>。</w:t>
      </w:r>
    </w:p>
    <w:p w14:paraId="634DD3DE" w14:textId="0D054D40" w:rsidR="00970BA5" w:rsidRDefault="00B23C18" w:rsidP="007950AF">
      <w:pPr>
        <w:widowControl/>
        <w:spacing w:after="200" w:line="360" w:lineRule="auto"/>
        <w:ind w:firstLine="420"/>
        <w:jc w:val="left"/>
        <w:rPr>
          <w:rFonts w:ascii="宋体" w:eastAsia="宋体" w:hAnsi="宋体" w:hint="eastAsia"/>
          <w:kern w:val="0"/>
          <w:szCs w:val="21"/>
        </w:rPr>
      </w:pPr>
      <w:r>
        <w:rPr>
          <w:rFonts w:ascii="宋体" w:eastAsia="宋体" w:hAnsi="宋体" w:hint="eastAsia"/>
          <w:kern w:val="0"/>
          <w:szCs w:val="21"/>
        </w:rPr>
        <w:t>3</w:t>
      </w:r>
      <w:r w:rsidR="00970BA5">
        <w:rPr>
          <w:rFonts w:ascii="宋体" w:eastAsia="宋体" w:hAnsi="宋体" w:hint="eastAsia"/>
          <w:kern w:val="0"/>
          <w:szCs w:val="21"/>
        </w:rPr>
        <w:t>.</w:t>
      </w:r>
      <w:r w:rsidR="00970BA5" w:rsidRPr="00970BA5">
        <w:rPr>
          <w:rFonts w:ascii="宋体" w:eastAsia="宋体" w:hAnsi="宋体" w:hint="eastAsia"/>
          <w:kern w:val="0"/>
          <w:szCs w:val="21"/>
        </w:rPr>
        <w:t xml:space="preserve"> </w:t>
      </w:r>
      <w:r w:rsidR="00970BA5">
        <w:rPr>
          <w:rFonts w:ascii="宋体" w:eastAsia="宋体" w:hAnsi="宋体" w:hint="eastAsia"/>
          <w:kern w:val="0"/>
          <w:szCs w:val="21"/>
        </w:rPr>
        <w:t>裁定劣后债权</w:t>
      </w:r>
    </w:p>
    <w:p w14:paraId="3BC5C50A" w14:textId="7E79051B" w:rsidR="00970BA5" w:rsidRDefault="00970BA5" w:rsidP="007950AF">
      <w:pPr>
        <w:widowControl/>
        <w:spacing w:after="200" w:line="360" w:lineRule="auto"/>
        <w:ind w:firstLine="420"/>
        <w:jc w:val="left"/>
        <w:rPr>
          <w:rFonts w:ascii="宋体" w:eastAsia="宋体" w:hAnsi="宋体" w:hint="eastAsia"/>
          <w:kern w:val="0"/>
          <w:szCs w:val="21"/>
        </w:rPr>
      </w:pPr>
      <w:r>
        <w:rPr>
          <w:rFonts w:ascii="宋体" w:eastAsia="宋体" w:hAnsi="宋体" w:hint="eastAsia"/>
          <w:kern w:val="0"/>
          <w:szCs w:val="21"/>
        </w:rPr>
        <w:lastRenderedPageBreak/>
        <w:t>裁定的劣后债权是指在</w:t>
      </w:r>
      <w:r w:rsidRPr="003220AA">
        <w:rPr>
          <w:rFonts w:ascii="宋体" w:eastAsia="宋体" w:hAnsi="宋体"/>
          <w:kern w:val="0"/>
          <w:szCs w:val="21"/>
        </w:rPr>
        <w:t>破产程序中，</w:t>
      </w:r>
      <w:r>
        <w:rPr>
          <w:rFonts w:ascii="宋体" w:eastAsia="宋体" w:hAnsi="宋体" w:hint="eastAsia"/>
          <w:kern w:val="0"/>
          <w:szCs w:val="21"/>
        </w:rPr>
        <w:t>对既无法律明文规定劣后又无当事人约定劣后的债权，</w:t>
      </w:r>
      <w:r w:rsidRPr="003220AA">
        <w:rPr>
          <w:rFonts w:ascii="宋体" w:eastAsia="宋体" w:hAnsi="宋体"/>
          <w:kern w:val="0"/>
          <w:szCs w:val="21"/>
        </w:rPr>
        <w:t>人民法院</w:t>
      </w:r>
      <w:r>
        <w:rPr>
          <w:rFonts w:ascii="宋体" w:eastAsia="宋体" w:hAnsi="宋体" w:hint="eastAsia"/>
          <w:kern w:val="0"/>
          <w:szCs w:val="21"/>
        </w:rPr>
        <w:t>依职权或依申请，</w:t>
      </w:r>
      <w:r w:rsidRPr="003220AA">
        <w:rPr>
          <w:rFonts w:ascii="宋体" w:eastAsia="宋体" w:hAnsi="宋体"/>
          <w:kern w:val="0"/>
          <w:szCs w:val="21"/>
        </w:rPr>
        <w:t>确认其清偿顺位劣后于普通破产债权乃至其他劣后债权的破产债权。</w:t>
      </w:r>
      <w:r w:rsidR="00271FE4" w:rsidRPr="00271FE4">
        <w:rPr>
          <w:rFonts w:ascii="宋体" w:eastAsia="宋体" w:hAnsi="宋体"/>
          <w:kern w:val="0"/>
          <w:szCs w:val="21"/>
        </w:rPr>
        <w:t>当债权虽形式合法，但实质上基于不正当行为或不合理安排形成时，法院有必要通过顺位调整予以矫正。这一机制在防止制度被滥用方面具有不可替代的作用</w:t>
      </w:r>
      <w:r w:rsidR="00271FE4">
        <w:rPr>
          <w:rFonts w:ascii="宋体" w:eastAsia="宋体" w:hAnsi="宋体" w:hint="eastAsia"/>
          <w:kern w:val="0"/>
          <w:szCs w:val="21"/>
        </w:rPr>
        <w:t>，当</w:t>
      </w:r>
      <w:r>
        <w:rPr>
          <w:rFonts w:ascii="宋体" w:eastAsia="宋体" w:hAnsi="宋体" w:hint="eastAsia"/>
          <w:kern w:val="0"/>
          <w:szCs w:val="21"/>
        </w:rPr>
        <w:t>存在某种形式上看起来公平、实际上会损害当事人或第三方利益的债权，而这种形式上的公平不能被接受，</w:t>
      </w:r>
      <w:r w:rsidR="00271FE4">
        <w:rPr>
          <w:rFonts w:ascii="宋体" w:eastAsia="宋体" w:hAnsi="宋体" w:hint="eastAsia"/>
          <w:kern w:val="0"/>
          <w:szCs w:val="21"/>
        </w:rPr>
        <w:t>就</w:t>
      </w:r>
      <w:r>
        <w:rPr>
          <w:rFonts w:ascii="宋体" w:eastAsia="宋体" w:hAnsi="宋体" w:hint="eastAsia"/>
          <w:kern w:val="0"/>
          <w:szCs w:val="21"/>
        </w:rPr>
        <w:t>需要法院发挥独立裁判权予以纠正，</w:t>
      </w:r>
      <w:r w:rsidR="004F2D3E" w:rsidRPr="00271FE4">
        <w:rPr>
          <w:rFonts w:ascii="宋体" w:eastAsia="宋体" w:hAnsi="宋体"/>
          <w:kern w:val="0"/>
          <w:szCs w:val="21"/>
        </w:rPr>
        <w:t>体现</w:t>
      </w:r>
      <w:r w:rsidR="004F2D3E">
        <w:rPr>
          <w:rFonts w:ascii="宋体" w:eastAsia="宋体" w:hAnsi="宋体" w:hint="eastAsia"/>
          <w:kern w:val="0"/>
          <w:szCs w:val="21"/>
        </w:rPr>
        <w:t>了</w:t>
      </w:r>
      <w:r w:rsidR="004F2D3E" w:rsidRPr="00271FE4">
        <w:rPr>
          <w:rFonts w:ascii="宋体" w:eastAsia="宋体" w:hAnsi="宋体"/>
          <w:kern w:val="0"/>
          <w:szCs w:val="21"/>
        </w:rPr>
        <w:t>法院对</w:t>
      </w:r>
      <w:r w:rsidR="004F2D3E">
        <w:rPr>
          <w:rFonts w:ascii="宋体" w:eastAsia="宋体" w:hAnsi="宋体" w:hint="eastAsia"/>
          <w:kern w:val="0"/>
          <w:szCs w:val="21"/>
        </w:rPr>
        <w:t>形式公平与实质公平冲突之间</w:t>
      </w:r>
      <w:r w:rsidR="004F2D3E" w:rsidRPr="00271FE4">
        <w:rPr>
          <w:rFonts w:ascii="宋体" w:eastAsia="宋体" w:hAnsi="宋体"/>
          <w:kern w:val="0"/>
          <w:szCs w:val="21"/>
        </w:rPr>
        <w:t>的修正功能</w:t>
      </w:r>
      <w:r w:rsidR="004F2D3E">
        <w:rPr>
          <w:rFonts w:ascii="宋体" w:eastAsia="宋体" w:hAnsi="宋体" w:hint="eastAsia"/>
          <w:kern w:val="0"/>
          <w:szCs w:val="21"/>
        </w:rPr>
        <w:t>，这种做法的依据也被称为</w:t>
      </w:r>
      <w:r>
        <w:rPr>
          <w:rFonts w:ascii="宋体" w:eastAsia="宋体" w:hAnsi="宋体" w:hint="eastAsia"/>
          <w:kern w:val="0"/>
          <w:szCs w:val="21"/>
        </w:rPr>
        <w:t>衡平居次原则。</w:t>
      </w:r>
    </w:p>
    <w:p w14:paraId="2D24DEDC" w14:textId="77777777" w:rsidR="00970BA5" w:rsidRDefault="00970BA5" w:rsidP="007950AF">
      <w:pPr>
        <w:widowControl/>
        <w:spacing w:after="200" w:line="360" w:lineRule="auto"/>
        <w:ind w:firstLine="420"/>
        <w:jc w:val="left"/>
        <w:rPr>
          <w:rFonts w:ascii="宋体" w:eastAsia="宋体" w:hAnsi="宋体" w:hint="eastAsia"/>
          <w:kern w:val="0"/>
          <w:szCs w:val="21"/>
        </w:rPr>
      </w:pPr>
      <w:r>
        <w:rPr>
          <w:rFonts w:ascii="宋体" w:eastAsia="宋体" w:hAnsi="宋体" w:hint="eastAsia"/>
          <w:kern w:val="0"/>
          <w:szCs w:val="21"/>
        </w:rPr>
        <w:t>衡平居次原则又称“深石原则”，美国联邦最高法院于20世纪30年代至40年代之间全面承认这一规则，并在1939年泰勒诉标准石油电力公司案</w:t>
      </w:r>
      <w:r>
        <w:rPr>
          <w:rStyle w:val="af4"/>
          <w:rFonts w:ascii="宋体" w:eastAsia="宋体" w:hAnsi="宋体" w:hint="eastAsia"/>
          <w:kern w:val="0"/>
          <w:szCs w:val="21"/>
        </w:rPr>
        <w:footnoteReference w:id="4"/>
      </w:r>
      <w:r>
        <w:rPr>
          <w:rFonts w:ascii="宋体" w:eastAsia="宋体" w:hAnsi="宋体" w:hint="eastAsia"/>
          <w:kern w:val="0"/>
          <w:szCs w:val="21"/>
        </w:rPr>
        <w:t>中以判例方式赋予该规则法律效力。随后于1978新修订的美国破产法第510条c款第1项首次对衡平居次原则做出明文规定，明确</w:t>
      </w:r>
      <w:r w:rsidRPr="00EB201E">
        <w:rPr>
          <w:rFonts w:ascii="宋体" w:eastAsia="宋体" w:hAnsi="宋体"/>
          <w:kern w:val="0"/>
          <w:szCs w:val="21"/>
        </w:rPr>
        <w:t>尽管有</w:t>
      </w:r>
      <w:r>
        <w:rPr>
          <w:rFonts w:ascii="宋体" w:eastAsia="宋体" w:hAnsi="宋体" w:hint="eastAsia"/>
          <w:kern w:val="0"/>
          <w:szCs w:val="21"/>
        </w:rPr>
        <w:t>第510条</w:t>
      </w:r>
      <w:r w:rsidRPr="00EB201E">
        <w:rPr>
          <w:rFonts w:ascii="宋体" w:eastAsia="宋体" w:hAnsi="宋体"/>
          <w:kern w:val="0"/>
          <w:szCs w:val="21"/>
        </w:rPr>
        <w:t>a</w:t>
      </w:r>
      <w:r>
        <w:rPr>
          <w:rFonts w:ascii="宋体" w:eastAsia="宋体" w:hAnsi="宋体" w:hint="eastAsia"/>
          <w:kern w:val="0"/>
          <w:szCs w:val="21"/>
        </w:rPr>
        <w:t>款</w:t>
      </w:r>
      <w:r w:rsidRPr="00EB201E">
        <w:rPr>
          <w:rFonts w:ascii="宋体" w:eastAsia="宋体" w:hAnsi="宋体"/>
          <w:kern w:val="0"/>
          <w:szCs w:val="21"/>
        </w:rPr>
        <w:t>和</w:t>
      </w:r>
      <w:r>
        <w:rPr>
          <w:rFonts w:ascii="宋体" w:eastAsia="宋体" w:hAnsi="宋体" w:hint="eastAsia"/>
          <w:kern w:val="0"/>
          <w:szCs w:val="21"/>
        </w:rPr>
        <w:t>b</w:t>
      </w:r>
      <w:r w:rsidRPr="00EB201E">
        <w:rPr>
          <w:rFonts w:ascii="宋体" w:eastAsia="宋体" w:hAnsi="宋体"/>
          <w:kern w:val="0"/>
          <w:szCs w:val="21"/>
        </w:rPr>
        <w:t>款规定</w:t>
      </w:r>
      <w:r>
        <w:rPr>
          <w:rFonts w:ascii="宋体" w:eastAsia="宋体" w:hAnsi="宋体" w:hint="eastAsia"/>
          <w:kern w:val="0"/>
          <w:szCs w:val="21"/>
        </w:rPr>
        <w:t>的情况下，</w:t>
      </w:r>
      <w:r w:rsidRPr="00EB201E">
        <w:rPr>
          <w:rFonts w:ascii="宋体" w:eastAsia="宋体" w:hAnsi="宋体" w:hint="eastAsia"/>
          <w:kern w:val="0"/>
          <w:szCs w:val="21"/>
        </w:rPr>
        <w:t>法院在通知和听证后仍可</w:t>
      </w:r>
      <w:r>
        <w:rPr>
          <w:rFonts w:ascii="宋体" w:eastAsia="宋体" w:hAnsi="宋体" w:hint="eastAsia"/>
          <w:kern w:val="0"/>
          <w:szCs w:val="21"/>
        </w:rPr>
        <w:t>：1.</w:t>
      </w:r>
      <w:r w:rsidRPr="00EB201E">
        <w:rPr>
          <w:rFonts w:ascii="宋体" w:eastAsia="宋体" w:hAnsi="宋体" w:hint="eastAsia"/>
          <w:kern w:val="0"/>
          <w:szCs w:val="21"/>
        </w:rPr>
        <w:t>根据衡平从属原则，将允许的权利全部或部分分配给另一允许的权利的全部或部分，或允许的权益的全部或部分分配给另一允许权益的全部或部分;</w:t>
      </w:r>
      <w:r>
        <w:rPr>
          <w:rFonts w:ascii="宋体" w:eastAsia="宋体" w:hAnsi="宋体" w:hint="eastAsia"/>
          <w:kern w:val="0"/>
          <w:szCs w:val="21"/>
        </w:rPr>
        <w:t>或2.</w:t>
      </w:r>
      <w:r w:rsidRPr="00EB201E">
        <w:rPr>
          <w:rFonts w:ascii="宋体" w:eastAsia="宋体" w:hAnsi="宋体" w:hint="eastAsia"/>
          <w:kern w:val="0"/>
          <w:szCs w:val="21"/>
        </w:rPr>
        <w:t>命令将任何保障此类次级索赔的留置权转移至遗产管理</w:t>
      </w:r>
      <w:r>
        <w:rPr>
          <w:rFonts w:ascii="宋体" w:eastAsia="宋体" w:hAnsi="宋体" w:hint="eastAsia"/>
          <w:kern w:val="0"/>
          <w:szCs w:val="21"/>
        </w:rPr>
        <w:t>。</w:t>
      </w:r>
      <w:r>
        <w:rPr>
          <w:rStyle w:val="af4"/>
          <w:rFonts w:ascii="宋体" w:eastAsia="宋体" w:hAnsi="宋体" w:hint="eastAsia"/>
          <w:kern w:val="0"/>
          <w:szCs w:val="21"/>
        </w:rPr>
        <w:footnoteReference w:id="5"/>
      </w:r>
    </w:p>
    <w:p w14:paraId="79A43CFD" w14:textId="31103E0E" w:rsidR="00C0424A" w:rsidRDefault="00302A79" w:rsidP="007950AF">
      <w:pPr>
        <w:widowControl/>
        <w:spacing w:after="200" w:line="360" w:lineRule="auto"/>
        <w:jc w:val="left"/>
        <w:rPr>
          <w:rFonts w:ascii="黑体" w:eastAsia="黑体" w:hAnsi="黑体" w:hint="eastAsia"/>
          <w:b/>
          <w:kern w:val="0"/>
          <w:sz w:val="24"/>
        </w:rPr>
      </w:pPr>
      <w:r w:rsidRPr="00302A79">
        <w:rPr>
          <w:rFonts w:ascii="黑体" w:eastAsia="黑体" w:hAnsi="黑体" w:hint="eastAsia"/>
          <w:b/>
          <w:kern w:val="0"/>
          <w:sz w:val="24"/>
        </w:rPr>
        <w:t>（二）劣后债权的性质</w:t>
      </w:r>
    </w:p>
    <w:p w14:paraId="22FAE7F2" w14:textId="77777777" w:rsidR="002C3EC3" w:rsidRPr="002C3EC3" w:rsidRDefault="002C3EC3" w:rsidP="007950AF">
      <w:pPr>
        <w:widowControl/>
        <w:spacing w:after="200" w:line="360" w:lineRule="auto"/>
        <w:ind w:firstLine="420"/>
        <w:jc w:val="left"/>
        <w:rPr>
          <w:rFonts w:ascii="宋体" w:eastAsia="宋体" w:hAnsi="宋体" w:hint="eastAsia"/>
          <w:kern w:val="0"/>
          <w:szCs w:val="21"/>
        </w:rPr>
      </w:pPr>
      <w:r w:rsidRPr="002C3EC3">
        <w:rPr>
          <w:rFonts w:ascii="宋体" w:eastAsia="宋体" w:hAnsi="宋体"/>
          <w:kern w:val="0"/>
          <w:szCs w:val="21"/>
        </w:rPr>
        <w:t>破产债权是指在破产程序启动前成立，由债权人依照破产法规定的程序申报并经确认，能够从债务人财产中获得分配清偿且具有强制执行力的财产请求权。不符合破产债权构成要件的权利不能成为破产债权，也无法进入破产程序参与破产分配，只能构成除斥债权。除斥债权是指因法律规定的特定原因而完全被排除在破产程序之外，无权作为破产债权从破产财产中获得清偿的债权。</w:t>
      </w:r>
    </w:p>
    <w:p w14:paraId="4FA94A83" w14:textId="7187D2F9" w:rsidR="002C3EC3" w:rsidRPr="002C3EC3" w:rsidRDefault="002C3EC3" w:rsidP="007950AF">
      <w:pPr>
        <w:widowControl/>
        <w:spacing w:after="200" w:line="360" w:lineRule="auto"/>
        <w:ind w:firstLine="420"/>
        <w:jc w:val="left"/>
        <w:rPr>
          <w:rFonts w:ascii="宋体" w:eastAsia="宋体" w:hAnsi="宋体" w:hint="eastAsia"/>
          <w:kern w:val="0"/>
          <w:szCs w:val="21"/>
        </w:rPr>
      </w:pPr>
      <w:r w:rsidRPr="002C3EC3">
        <w:rPr>
          <w:rFonts w:ascii="宋体" w:eastAsia="宋体" w:hAnsi="宋体"/>
          <w:kern w:val="0"/>
          <w:szCs w:val="21"/>
        </w:rPr>
        <w:t>确定民事惩罚性赔偿金、行政罚款、刑事罚金、关联公司之间的债权以及股东剩余利益分配请求权等权利能否被认定为破产债权尤为重要。这些权利在民事实体法上原本可能具有法律效力，但如果被认定为除斥债权，则基于破产法 "保障全体普通债权人公平受偿，同时兼顾破产程序效率与公共政策" 的立法宗旨，其在破产程序中的受偿权将被剥夺。尽管从实践角度看，无论将这些债权归类为除斥债权还是劣后债权，它们从破产财产</w:t>
      </w:r>
      <w:r w:rsidRPr="002C3EC3">
        <w:rPr>
          <w:rFonts w:ascii="宋体" w:eastAsia="宋体" w:hAnsi="宋体"/>
          <w:kern w:val="0"/>
          <w:szCs w:val="21"/>
        </w:rPr>
        <w:lastRenderedPageBreak/>
        <w:t>中获得分配的概率都极低，但这不能成为将其归类为除斥债权的理由</w:t>
      </w:r>
      <w:r>
        <w:rPr>
          <w:rFonts w:ascii="宋体" w:eastAsia="宋体" w:hAnsi="宋体" w:hint="eastAsia"/>
          <w:kern w:val="0"/>
          <w:szCs w:val="21"/>
        </w:rPr>
        <w:t>：</w:t>
      </w:r>
      <w:r w:rsidRPr="002C3EC3">
        <w:rPr>
          <w:rFonts w:ascii="宋体" w:eastAsia="宋体" w:hAnsi="宋体"/>
          <w:kern w:val="0"/>
          <w:szCs w:val="21"/>
        </w:rPr>
        <w:t>因为劣后债权仍有获得清偿的机会，而除斥债权甚至无法进入破产程序，从根本上丧失了受偿的可能。</w:t>
      </w:r>
    </w:p>
    <w:p w14:paraId="089335CA" w14:textId="274A8973" w:rsidR="002C3EC3" w:rsidRPr="002C3EC3" w:rsidRDefault="002C3EC3" w:rsidP="007950AF">
      <w:pPr>
        <w:widowControl/>
        <w:spacing w:after="200" w:line="360" w:lineRule="auto"/>
        <w:ind w:firstLine="420"/>
        <w:jc w:val="left"/>
        <w:rPr>
          <w:rFonts w:ascii="宋体" w:eastAsia="宋体" w:hAnsi="宋体" w:hint="eastAsia"/>
          <w:kern w:val="0"/>
          <w:szCs w:val="21"/>
        </w:rPr>
      </w:pPr>
      <w:r w:rsidRPr="002C3EC3">
        <w:rPr>
          <w:rFonts w:ascii="宋体" w:eastAsia="宋体" w:hAnsi="宋体"/>
          <w:kern w:val="0"/>
          <w:szCs w:val="21"/>
        </w:rPr>
        <w:t>将民事惩罚性赔偿金、行政罚款、刑事罚金、关联公司之间的债权以及股东剩余利益分配请求权归类为劣后债权，不仅能为这些债权保留受偿机会，在破产实践中也具有诸多益处。在除斥债权模式下，惩罚性债权人因在程序内毫无受偿可能，往往会采取破产前抢执行、提起执行异议之诉或利用行政权力干预破产程序等各种手段来实现其债权。这些行为会引发大量不必要的诉讼，显著增加破产程序成本；而若将其纳入普通债权，则会导致普通债权人因债权被稀释而提出异议，增加重整计划和分配方案的通过难度。将这些债权归类为劣后债权，既确立了破产程序内的合法追偿路径，避免了债权人无休止的程序外追索，又不会损害普通债权人的利益，能够大幅减少债权人之间的利益冲突与表决摩擦，显著降低破产程序的整体交易成本，提升程序效率。</w:t>
      </w:r>
    </w:p>
    <w:p w14:paraId="08C228AB" w14:textId="738368EA" w:rsidR="00114EEA" w:rsidRPr="00CB67FC" w:rsidRDefault="00CF2D01" w:rsidP="007950AF">
      <w:pPr>
        <w:widowControl/>
        <w:spacing w:after="200" w:line="360" w:lineRule="auto"/>
        <w:jc w:val="left"/>
        <w:rPr>
          <w:rFonts w:ascii="黑体" w:eastAsia="黑体" w:hAnsi="黑体" w:hint="eastAsia"/>
          <w:b/>
          <w:kern w:val="0"/>
          <w:sz w:val="28"/>
        </w:rPr>
      </w:pPr>
      <w:r w:rsidRPr="00CB67FC">
        <w:rPr>
          <w:rFonts w:ascii="黑体" w:eastAsia="黑体" w:hAnsi="黑体" w:hint="eastAsia"/>
          <w:b/>
          <w:kern w:val="0"/>
          <w:sz w:val="28"/>
        </w:rPr>
        <w:t>二、我国引入</w:t>
      </w:r>
      <w:r w:rsidR="00C321F7" w:rsidRPr="00CB67FC">
        <w:rPr>
          <w:rFonts w:ascii="黑体" w:eastAsia="黑体" w:hAnsi="黑体" w:hint="eastAsia"/>
          <w:b/>
          <w:kern w:val="0"/>
          <w:sz w:val="28"/>
        </w:rPr>
        <w:t>劣后债权的</w:t>
      </w:r>
      <w:r w:rsidR="00CB67FC">
        <w:rPr>
          <w:rFonts w:ascii="黑体" w:eastAsia="黑体" w:hAnsi="黑体" w:hint="eastAsia"/>
          <w:b/>
          <w:kern w:val="0"/>
          <w:sz w:val="28"/>
        </w:rPr>
        <w:t>可行性</w:t>
      </w:r>
      <w:r w:rsidR="00CB67FC" w:rsidRPr="00CB67FC">
        <w:rPr>
          <w:rFonts w:ascii="黑体" w:eastAsia="黑体" w:hAnsi="黑体" w:hint="eastAsia"/>
          <w:b/>
          <w:kern w:val="0"/>
          <w:sz w:val="28"/>
        </w:rPr>
        <w:t>与</w:t>
      </w:r>
      <w:r w:rsidR="00CB67FC">
        <w:rPr>
          <w:rFonts w:ascii="黑体" w:eastAsia="黑体" w:hAnsi="黑体" w:hint="eastAsia"/>
          <w:b/>
          <w:kern w:val="0"/>
          <w:sz w:val="28"/>
        </w:rPr>
        <w:t>必要</w:t>
      </w:r>
      <w:r w:rsidR="00CB67FC" w:rsidRPr="00CB67FC">
        <w:rPr>
          <w:rFonts w:ascii="黑体" w:eastAsia="黑体" w:hAnsi="黑体" w:hint="eastAsia"/>
          <w:b/>
          <w:kern w:val="0"/>
          <w:sz w:val="28"/>
        </w:rPr>
        <w:t>性</w:t>
      </w:r>
    </w:p>
    <w:p w14:paraId="28130D0F" w14:textId="575181E5" w:rsidR="00FA05F0" w:rsidRPr="00F4144B" w:rsidRDefault="00FA05F0" w:rsidP="007950AF">
      <w:pPr>
        <w:widowControl/>
        <w:spacing w:after="200" w:line="360" w:lineRule="auto"/>
        <w:jc w:val="left"/>
        <w:rPr>
          <w:rFonts w:ascii="黑体" w:eastAsia="黑体" w:hAnsi="黑体" w:hint="eastAsia"/>
          <w:b/>
          <w:kern w:val="0"/>
          <w:sz w:val="24"/>
        </w:rPr>
      </w:pPr>
      <w:r w:rsidRPr="00F4144B">
        <w:rPr>
          <w:rFonts w:ascii="黑体" w:eastAsia="黑体" w:hAnsi="黑体" w:hint="eastAsia"/>
          <w:b/>
          <w:kern w:val="0"/>
          <w:sz w:val="24"/>
        </w:rPr>
        <w:t>（一）我国引入劣后债权的可行性</w:t>
      </w:r>
    </w:p>
    <w:p w14:paraId="16EB3A8E" w14:textId="77777777" w:rsidR="00C14AC3" w:rsidRDefault="00CF2D01" w:rsidP="007950AF">
      <w:pPr>
        <w:widowControl/>
        <w:spacing w:after="200" w:line="360" w:lineRule="auto"/>
        <w:ind w:firstLine="420"/>
        <w:jc w:val="left"/>
        <w:rPr>
          <w:rFonts w:ascii="宋体" w:eastAsia="宋体" w:hAnsi="宋体" w:hint="eastAsia"/>
        </w:rPr>
      </w:pPr>
      <w:r>
        <w:rPr>
          <w:rFonts w:ascii="宋体" w:eastAsia="宋体" w:hAnsi="宋体" w:hint="eastAsia"/>
        </w:rPr>
        <w:t>我国破产法</w:t>
      </w:r>
      <w:r w:rsidR="00CB67FC" w:rsidRPr="00CB67FC">
        <w:rPr>
          <w:rFonts w:ascii="宋体" w:eastAsia="宋体" w:hAnsi="宋体" w:hint="eastAsia"/>
        </w:rPr>
        <w:t>仅构建了</w:t>
      </w:r>
      <w:r w:rsidR="00CB67FC">
        <w:rPr>
          <w:rFonts w:ascii="宋体" w:eastAsia="宋体" w:hAnsi="宋体" w:hint="eastAsia"/>
        </w:rPr>
        <w:t>“优先债权—普通债权”</w:t>
      </w:r>
      <w:r w:rsidR="00CB67FC" w:rsidRPr="00CB67FC">
        <w:rPr>
          <w:rFonts w:ascii="宋体" w:eastAsia="宋体" w:hAnsi="宋体" w:hint="eastAsia"/>
        </w:rPr>
        <w:t>的二元清偿结构，</w:t>
      </w:r>
      <w:r w:rsidR="00CB67FC">
        <w:rPr>
          <w:rFonts w:ascii="宋体" w:eastAsia="宋体" w:hAnsi="宋体" w:hint="eastAsia"/>
        </w:rPr>
        <w:t>并</w:t>
      </w:r>
      <w:r w:rsidR="00CB67FC" w:rsidRPr="00CB67FC">
        <w:rPr>
          <w:rFonts w:ascii="宋体" w:eastAsia="宋体" w:hAnsi="宋体" w:hint="eastAsia"/>
        </w:rPr>
        <w:t>未对劣后债权作出明确的界定，实践中长期以除斥债权模式处理本应归为劣后顺位的债权，将破产受理后利息、惩罚性债权、关联方不当债权等直接排除出破产程序。</w:t>
      </w:r>
      <w:r w:rsidR="00BE2E5E">
        <w:rPr>
          <w:rFonts w:ascii="宋体" w:eastAsia="宋体" w:hAnsi="宋体" w:hint="eastAsia"/>
        </w:rPr>
        <w:t>《</w:t>
      </w:r>
      <w:r>
        <w:rPr>
          <w:rFonts w:ascii="宋体" w:eastAsia="宋体" w:hAnsi="宋体" w:hint="eastAsia"/>
        </w:rPr>
        <w:t>破产会议纪要》第28条的态度则很明确，通过提出对部分债权劣后清偿，明确我国破产应采取劣后债权主义而非除斥债权主义，即“</w:t>
      </w:r>
      <w:r w:rsidRPr="006342DD">
        <w:rPr>
          <w:rFonts w:ascii="宋体" w:eastAsia="宋体" w:hAnsi="宋体" w:hint="eastAsia"/>
        </w:rPr>
        <w:t>破产财产依照企业破产法第一百一十三条规定的顺序清偿后仍有剩余的，可依次用于清偿破产受理前产生的民事惩罚性赔偿金、行政罚款、刑事罚金等惩罚性债权</w:t>
      </w:r>
      <w:r>
        <w:rPr>
          <w:rFonts w:ascii="宋体" w:eastAsia="宋体" w:hAnsi="宋体" w:hint="eastAsia"/>
        </w:rPr>
        <w:t>”。</w:t>
      </w:r>
    </w:p>
    <w:p w14:paraId="1B366A0A" w14:textId="60C9FE23" w:rsidR="00CF2D01" w:rsidRDefault="00FA05F0" w:rsidP="007950AF">
      <w:pPr>
        <w:widowControl/>
        <w:spacing w:after="200" w:line="360" w:lineRule="auto"/>
        <w:ind w:firstLine="420"/>
        <w:jc w:val="left"/>
        <w:rPr>
          <w:rFonts w:ascii="宋体" w:eastAsia="宋体" w:hAnsi="宋体" w:hint="eastAsia"/>
        </w:rPr>
      </w:pPr>
      <w:r>
        <w:rPr>
          <w:rFonts w:ascii="宋体" w:eastAsia="宋体" w:hAnsi="宋体" w:hint="eastAsia"/>
        </w:rPr>
        <w:t>《破产会议纪要》</w:t>
      </w:r>
      <w:r w:rsidR="00024D32">
        <w:rPr>
          <w:rFonts w:ascii="宋体" w:eastAsia="宋体" w:hAnsi="宋体" w:hint="eastAsia"/>
        </w:rPr>
        <w:t>引入劣后债权是对</w:t>
      </w:r>
      <w:r w:rsidR="00BE2E5E">
        <w:rPr>
          <w:rFonts w:ascii="宋体" w:eastAsia="宋体" w:hAnsi="宋体" w:hint="eastAsia"/>
        </w:rPr>
        <w:t>我国司法实践</w:t>
      </w:r>
      <w:r w:rsidR="00024D32">
        <w:rPr>
          <w:rFonts w:ascii="宋体" w:eastAsia="宋体" w:hAnsi="宋体" w:hint="eastAsia"/>
        </w:rPr>
        <w:t>的回应，</w:t>
      </w:r>
      <w:r w:rsidR="00975A96">
        <w:rPr>
          <w:rFonts w:ascii="宋体" w:eastAsia="宋体" w:hAnsi="宋体" w:hint="eastAsia"/>
        </w:rPr>
        <w:t>这种司法实践可以追溯到2003年最高法院发布的</w:t>
      </w:r>
      <w:r w:rsidR="00975A96" w:rsidRPr="00975A96">
        <w:rPr>
          <w:rFonts w:ascii="宋体" w:eastAsia="宋体" w:hAnsi="宋体" w:hint="eastAsia"/>
        </w:rPr>
        <w:t>《关于审理公司纠纷案件的若干规定（一）》（征求意见稿）</w:t>
      </w:r>
      <w:r w:rsidR="00975A96">
        <w:rPr>
          <w:rFonts w:ascii="宋体" w:eastAsia="宋体" w:hAnsi="宋体" w:hint="eastAsia"/>
        </w:rPr>
        <w:t>。该征求意见稿第52条规定了在从属公司进入破产后，控股公司的债权分配顺位劣后于其他债权人。</w:t>
      </w:r>
      <w:r w:rsidR="00975A96">
        <w:rPr>
          <w:rStyle w:val="af4"/>
          <w:rFonts w:ascii="宋体" w:eastAsia="宋体" w:hAnsi="宋体" w:hint="eastAsia"/>
        </w:rPr>
        <w:footnoteReference w:id="6"/>
      </w:r>
      <w:r w:rsidR="00C14AC3">
        <w:rPr>
          <w:rFonts w:ascii="宋体" w:eastAsia="宋体" w:hAnsi="宋体" w:hint="eastAsia"/>
        </w:rPr>
        <w:t>此后，各地法院依照最高法院出台的规定，在实践中不断摸索出具体适用办法，</w:t>
      </w:r>
      <w:r w:rsidR="001E7254">
        <w:rPr>
          <w:rFonts w:ascii="宋体" w:eastAsia="宋体" w:hAnsi="宋体" w:hint="eastAsia"/>
        </w:rPr>
        <w:t>并将</w:t>
      </w:r>
      <w:r w:rsidR="001E7254">
        <w:rPr>
          <w:rFonts w:ascii="宋体" w:eastAsia="宋体" w:hAnsi="宋体" w:hint="eastAsia"/>
        </w:rPr>
        <w:lastRenderedPageBreak/>
        <w:t>以下几种债权认定为劣后债权：</w:t>
      </w:r>
      <w:r w:rsidR="001E7254" w:rsidRPr="001E7254">
        <w:rPr>
          <w:rFonts w:ascii="宋体" w:eastAsia="宋体" w:hAnsi="宋体" w:hint="eastAsia"/>
        </w:rPr>
        <w:t>加倍支付的迟延利息；出资不实股东的债权；控股股东利用不当手段获得的债权；破产程序开始后主债权的利息。</w:t>
      </w:r>
    </w:p>
    <w:p w14:paraId="1A9B4D53" w14:textId="77777777" w:rsidR="00652C12" w:rsidRDefault="001E7254" w:rsidP="007950AF">
      <w:pPr>
        <w:widowControl/>
        <w:spacing w:after="200" w:line="360" w:lineRule="auto"/>
        <w:ind w:firstLine="420"/>
        <w:jc w:val="left"/>
        <w:rPr>
          <w:rFonts w:ascii="宋体" w:eastAsia="宋体" w:hAnsi="宋体" w:hint="eastAsia"/>
        </w:rPr>
      </w:pPr>
      <w:r>
        <w:rPr>
          <w:rFonts w:ascii="宋体" w:eastAsia="宋体" w:hAnsi="宋体" w:hint="eastAsia"/>
        </w:rPr>
        <w:t>此外，我国法律虽然没有规定劣后债权，但其他国家有劣后债权的规定，可以为我国提供域外借鉴</w:t>
      </w:r>
      <w:r w:rsidR="007C5792">
        <w:rPr>
          <w:rFonts w:hint="eastAsia"/>
        </w:rPr>
        <w:t>。</w:t>
      </w:r>
      <w:r w:rsidR="007C5792" w:rsidRPr="007C5792">
        <w:rPr>
          <w:rFonts w:ascii="宋体" w:eastAsia="宋体" w:hAnsi="宋体" w:hint="eastAsia"/>
        </w:rPr>
        <w:t>从域外破产立法来看，目前英美法系的美国、英国，大陆法系的德国、日本、韩国，都已经在本国破产法中确立了劣后债权的法定地位，建立起“优先债权—普通债权—劣后债权”的三元清偿体系，基本都不再沿用传统的除斥债权模式。其中美国的劣后债权制度发展得最完善，经过长期的立法修订和司法实践，形成了“法定劣后+约定劣后+裁定劣后”的完整制度框架，配套适用规则也很清晰。德国、日本这些和我国同属大陆法系的国家，也完成了从除斥债权到劣后债权模式的立法转型，积累了不少可参考的实践经验。另外，联合国国际贸易法委员会的《破产法立法指南》也明确建议，对这类特殊债权要用劣后顺位的方式处理，而非直接排除出破产程序。这些域外经验和国际规则，都能给我国构建劣后债权制度提供参考，减少制度试错的成本。</w:t>
      </w:r>
    </w:p>
    <w:p w14:paraId="1EC3F423" w14:textId="6B6847E7" w:rsidR="00C14AC3" w:rsidRDefault="00652C12" w:rsidP="007950AF">
      <w:pPr>
        <w:widowControl/>
        <w:spacing w:after="200" w:line="360" w:lineRule="auto"/>
        <w:jc w:val="left"/>
        <w:rPr>
          <w:rFonts w:ascii="黑体" w:eastAsia="黑体" w:hAnsi="黑体" w:hint="eastAsia"/>
          <w:b/>
          <w:kern w:val="0"/>
          <w:sz w:val="24"/>
        </w:rPr>
      </w:pPr>
      <w:r w:rsidRPr="00652C12">
        <w:rPr>
          <w:rFonts w:ascii="黑体" w:eastAsia="黑体" w:hAnsi="黑体" w:hint="eastAsia"/>
          <w:b/>
          <w:kern w:val="0"/>
          <w:sz w:val="24"/>
        </w:rPr>
        <w:t>（二）</w:t>
      </w:r>
      <w:r w:rsidRPr="00F4144B">
        <w:rPr>
          <w:rFonts w:ascii="黑体" w:eastAsia="黑体" w:hAnsi="黑体" w:hint="eastAsia"/>
          <w:b/>
          <w:kern w:val="0"/>
          <w:sz w:val="24"/>
        </w:rPr>
        <w:t>我国引入劣后债权的</w:t>
      </w:r>
      <w:r>
        <w:rPr>
          <w:rFonts w:ascii="黑体" w:eastAsia="黑体" w:hAnsi="黑体" w:hint="eastAsia"/>
          <w:b/>
          <w:kern w:val="0"/>
          <w:sz w:val="24"/>
        </w:rPr>
        <w:t>必要</w:t>
      </w:r>
      <w:r w:rsidRPr="00F4144B">
        <w:rPr>
          <w:rFonts w:ascii="黑体" w:eastAsia="黑体" w:hAnsi="黑体" w:hint="eastAsia"/>
          <w:b/>
          <w:kern w:val="0"/>
          <w:sz w:val="24"/>
        </w:rPr>
        <w:t>性</w:t>
      </w:r>
    </w:p>
    <w:p w14:paraId="124F20A1" w14:textId="77777777" w:rsidR="00652C12" w:rsidRPr="00652C12" w:rsidRDefault="00652C12" w:rsidP="007950AF">
      <w:pPr>
        <w:widowControl/>
        <w:spacing w:after="200" w:line="360" w:lineRule="auto"/>
        <w:ind w:firstLine="420"/>
        <w:jc w:val="left"/>
        <w:rPr>
          <w:rFonts w:ascii="宋体" w:eastAsia="宋体" w:hAnsi="宋体" w:hint="eastAsia"/>
        </w:rPr>
      </w:pPr>
      <w:r w:rsidRPr="00652C12">
        <w:rPr>
          <w:rFonts w:ascii="宋体" w:eastAsia="宋体" w:hAnsi="宋体" w:hint="eastAsia"/>
        </w:rPr>
        <w:t>结合我国现有的立法、司法情况来看，在我国引入劣后债权制度，已经具备了不少落地的条件，并不是凭空设想的制度，可行性主要体现在这几个方面：</w:t>
      </w:r>
    </w:p>
    <w:p w14:paraId="00A37A30" w14:textId="2F1C8792" w:rsidR="00652C12" w:rsidRPr="00652C12" w:rsidRDefault="00652C12" w:rsidP="007950AF">
      <w:pPr>
        <w:widowControl/>
        <w:spacing w:after="200" w:line="360" w:lineRule="auto"/>
        <w:ind w:firstLine="420"/>
        <w:jc w:val="left"/>
        <w:rPr>
          <w:rFonts w:ascii="宋体" w:eastAsia="宋体" w:hAnsi="宋体" w:hint="eastAsia"/>
        </w:rPr>
      </w:pPr>
      <w:r w:rsidRPr="00652C12">
        <w:rPr>
          <w:rFonts w:ascii="宋体" w:eastAsia="宋体" w:hAnsi="宋体" w:hint="eastAsia"/>
        </w:rPr>
        <w:t>第一，司法实践已经有了初步的适用基础。</w:t>
      </w:r>
      <w:r w:rsidR="00AE26A5">
        <w:rPr>
          <w:rFonts w:ascii="宋体" w:eastAsia="宋体" w:hAnsi="宋体" w:hint="eastAsia"/>
        </w:rPr>
        <w:t>《破产会议纪要》</w:t>
      </w:r>
      <w:r w:rsidRPr="00652C12">
        <w:rPr>
          <w:rFonts w:ascii="宋体" w:eastAsia="宋体" w:hAnsi="宋体" w:hint="eastAsia"/>
        </w:rPr>
        <w:t>已经明确了惩罚性债权、不当关联债权要劣后于普通债权清偿，这其实就是劣后债权的雏形，相当于已经在司法层面认可了这个制度的核心思路。而且现在很多法院的破产案件里，也已经有不少把破产受理后的利息、股东的不当借款按劣后债权处理的案例，说明实务里已经能接受这个规则，</w:t>
      </w:r>
      <w:r w:rsidR="00AE26A5">
        <w:rPr>
          <w:rFonts w:ascii="宋体" w:eastAsia="宋体" w:hAnsi="宋体" w:hint="eastAsia"/>
        </w:rPr>
        <w:t>最终经法律确认也是应有之义</w:t>
      </w:r>
      <w:r w:rsidRPr="00652C12">
        <w:rPr>
          <w:rFonts w:ascii="宋体" w:eastAsia="宋体" w:hAnsi="宋体" w:hint="eastAsia"/>
        </w:rPr>
        <w:t>。</w:t>
      </w:r>
    </w:p>
    <w:p w14:paraId="1A9331AC" w14:textId="7C32E5C3" w:rsidR="00652C12" w:rsidRPr="00652C12" w:rsidRDefault="00652C12" w:rsidP="007950AF">
      <w:pPr>
        <w:widowControl/>
        <w:spacing w:after="200" w:line="360" w:lineRule="auto"/>
        <w:ind w:firstLine="420"/>
        <w:jc w:val="left"/>
        <w:rPr>
          <w:rFonts w:ascii="宋体" w:eastAsia="宋体" w:hAnsi="宋体" w:hint="eastAsia"/>
        </w:rPr>
      </w:pPr>
      <w:r w:rsidRPr="00652C12">
        <w:rPr>
          <w:rFonts w:ascii="宋体" w:eastAsia="宋体" w:hAnsi="宋体" w:hint="eastAsia"/>
        </w:rPr>
        <w:t>第二，学术研究和域外经验给了充足的参考。现在关于劣后债权的研究论文</w:t>
      </w:r>
      <w:r w:rsidR="00AE26A5">
        <w:rPr>
          <w:rFonts w:ascii="宋体" w:eastAsia="宋体" w:hAnsi="宋体" w:hint="eastAsia"/>
        </w:rPr>
        <w:t>中，</w:t>
      </w:r>
      <w:r w:rsidRPr="00652C12">
        <w:rPr>
          <w:rFonts w:ascii="宋体" w:eastAsia="宋体" w:hAnsi="宋体" w:hint="eastAsia"/>
        </w:rPr>
        <w:t>大多数学者都认可引入这个制度，也讨论了很多具体的设计思路，有比较成熟的理论支撑。</w:t>
      </w:r>
      <w:r w:rsidR="00AE26A5">
        <w:rPr>
          <w:rFonts w:ascii="宋体" w:eastAsia="宋体" w:hAnsi="宋体" w:hint="eastAsia"/>
        </w:rPr>
        <w:t>如王欣新教授就认为，应当按照《破产会议纪要》的规定，对破产劣后债权制度的适用，应当不局限于破产清算程序，还需要在破产重整和破产清算程序中适用。</w:t>
      </w:r>
      <w:r w:rsidR="00AE26A5">
        <w:rPr>
          <w:rStyle w:val="af4"/>
          <w:rFonts w:ascii="宋体" w:eastAsia="宋体" w:hAnsi="宋体" w:hint="eastAsia"/>
        </w:rPr>
        <w:footnoteReference w:id="7"/>
      </w:r>
      <w:r w:rsidRPr="00652C12">
        <w:rPr>
          <w:rFonts w:ascii="宋体" w:eastAsia="宋体" w:hAnsi="宋体" w:hint="eastAsia"/>
        </w:rPr>
        <w:t>同时，美国、德国、日本这些国家都已经用了很多年的劣后债权制度，有成熟的立法和司法经验，</w:t>
      </w:r>
      <w:r w:rsidR="008D71E7">
        <w:rPr>
          <w:rFonts w:ascii="宋体" w:eastAsia="宋体" w:hAnsi="宋体" w:hint="eastAsia"/>
        </w:rPr>
        <w:t>我国</w:t>
      </w:r>
      <w:r w:rsidRPr="00652C12">
        <w:rPr>
          <w:rFonts w:ascii="宋体" w:eastAsia="宋体" w:hAnsi="宋体" w:hint="eastAsia"/>
        </w:rPr>
        <w:t>可以直接</w:t>
      </w:r>
      <w:r w:rsidR="008D71E7">
        <w:rPr>
          <w:rFonts w:ascii="宋体" w:eastAsia="宋体" w:hAnsi="宋体" w:hint="eastAsia"/>
        </w:rPr>
        <w:t>辩证吸收</w:t>
      </w:r>
    </w:p>
    <w:p w14:paraId="164B45FB" w14:textId="205D968E" w:rsidR="00652C12" w:rsidRDefault="00652C12" w:rsidP="007950AF">
      <w:pPr>
        <w:widowControl/>
        <w:spacing w:after="200" w:line="360" w:lineRule="auto"/>
        <w:ind w:firstLine="420"/>
        <w:jc w:val="left"/>
        <w:rPr>
          <w:rFonts w:ascii="宋体" w:eastAsia="宋体" w:hAnsi="宋体" w:hint="eastAsia"/>
        </w:rPr>
      </w:pPr>
      <w:r w:rsidRPr="00652C12">
        <w:rPr>
          <w:rFonts w:ascii="宋体" w:eastAsia="宋体" w:hAnsi="宋体" w:hint="eastAsia"/>
        </w:rPr>
        <w:lastRenderedPageBreak/>
        <w:t>第三，当前的立法环境也提供了落地的机会。现在我国《企业破产法》正在修订，修订草案里已经加入了劣后债权的相关内容，说明立法层面也已经注意到了现行制度的不足。而且近些年破产案件</w:t>
      </w:r>
      <w:r w:rsidR="00AE26A5">
        <w:rPr>
          <w:rFonts w:ascii="宋体" w:eastAsia="宋体" w:hAnsi="宋体" w:hint="eastAsia"/>
        </w:rPr>
        <w:t>日益增多</w:t>
      </w:r>
      <w:r w:rsidRPr="00652C12">
        <w:rPr>
          <w:rFonts w:ascii="宋体" w:eastAsia="宋体" w:hAnsi="宋体" w:hint="eastAsia"/>
        </w:rPr>
        <w:t>，</w:t>
      </w:r>
      <w:r w:rsidR="00AE26A5">
        <w:rPr>
          <w:rFonts w:ascii="宋体" w:eastAsia="宋体" w:hAnsi="宋体" w:hint="eastAsia"/>
        </w:rPr>
        <w:t>债权债务关系也愈发复杂</w:t>
      </w:r>
      <w:r w:rsidRPr="00652C12">
        <w:rPr>
          <w:rFonts w:ascii="宋体" w:eastAsia="宋体" w:hAnsi="宋体" w:hint="eastAsia"/>
        </w:rPr>
        <w:t>，原来的“优先</w:t>
      </w:r>
      <w:r w:rsidR="00AE26A5">
        <w:rPr>
          <w:rFonts w:ascii="宋体" w:eastAsia="宋体" w:hAnsi="宋体" w:hint="eastAsia"/>
        </w:rPr>
        <w:t>债权—</w:t>
      </w:r>
      <w:r w:rsidRPr="00652C12">
        <w:rPr>
          <w:rFonts w:ascii="宋体" w:eastAsia="宋体" w:hAnsi="宋体" w:hint="eastAsia"/>
        </w:rPr>
        <w:t>普通</w:t>
      </w:r>
      <w:r w:rsidR="00AE26A5">
        <w:rPr>
          <w:rFonts w:ascii="宋体" w:eastAsia="宋体" w:hAnsi="宋体" w:hint="eastAsia"/>
        </w:rPr>
        <w:t>债权</w:t>
      </w:r>
      <w:r w:rsidRPr="00652C12">
        <w:rPr>
          <w:rFonts w:ascii="宋体" w:eastAsia="宋体" w:hAnsi="宋体" w:hint="eastAsia"/>
        </w:rPr>
        <w:t>”二元清偿结构已经</w:t>
      </w:r>
      <w:r w:rsidR="008D71E7">
        <w:rPr>
          <w:rFonts w:ascii="宋体" w:eastAsia="宋体" w:hAnsi="宋体" w:hint="eastAsia"/>
        </w:rPr>
        <w:t>不能满足现实需要</w:t>
      </w:r>
      <w:r w:rsidRPr="00652C12">
        <w:rPr>
          <w:rFonts w:ascii="宋体" w:eastAsia="宋体" w:hAnsi="宋体" w:hint="eastAsia"/>
        </w:rPr>
        <w:t>，</w:t>
      </w:r>
      <w:r w:rsidR="008D71E7">
        <w:rPr>
          <w:rFonts w:ascii="宋体" w:eastAsia="宋体" w:hAnsi="宋体" w:hint="eastAsia"/>
        </w:rPr>
        <w:t>出于解决实务问题的需求</w:t>
      </w:r>
      <w:r w:rsidRPr="00652C12">
        <w:rPr>
          <w:rFonts w:ascii="宋体" w:eastAsia="宋体" w:hAnsi="宋体" w:hint="eastAsia"/>
        </w:rPr>
        <w:t>，</w:t>
      </w:r>
      <w:r w:rsidR="008D71E7">
        <w:rPr>
          <w:rFonts w:ascii="宋体" w:eastAsia="宋体" w:hAnsi="宋体" w:hint="eastAsia"/>
        </w:rPr>
        <w:t>破产法在此时也应当引入劣后债权。</w:t>
      </w:r>
    </w:p>
    <w:p w14:paraId="4D550EB3" w14:textId="5321C87C" w:rsidR="0055224A" w:rsidRDefault="0055224A" w:rsidP="007950AF">
      <w:pPr>
        <w:widowControl/>
        <w:spacing w:after="200" w:line="360" w:lineRule="auto"/>
        <w:jc w:val="left"/>
        <w:rPr>
          <w:rFonts w:ascii="黑体" w:eastAsia="黑体" w:hAnsi="黑体" w:hint="eastAsia"/>
          <w:b/>
          <w:kern w:val="0"/>
          <w:sz w:val="28"/>
        </w:rPr>
      </w:pPr>
      <w:r w:rsidRPr="0055224A">
        <w:rPr>
          <w:rFonts w:ascii="黑体" w:eastAsia="黑体" w:hAnsi="黑体" w:hint="eastAsia"/>
          <w:b/>
          <w:kern w:val="0"/>
          <w:sz w:val="28"/>
        </w:rPr>
        <w:t>三、美国破产法中劣后债权</w:t>
      </w:r>
      <w:r>
        <w:rPr>
          <w:rFonts w:ascii="黑体" w:eastAsia="黑体" w:hAnsi="黑体" w:hint="eastAsia"/>
          <w:b/>
          <w:kern w:val="0"/>
          <w:sz w:val="28"/>
        </w:rPr>
        <w:t>的制度与启示</w:t>
      </w:r>
    </w:p>
    <w:p w14:paraId="1D64237B" w14:textId="45E86BDE" w:rsidR="0055224A" w:rsidRDefault="0055224A" w:rsidP="007950AF">
      <w:pPr>
        <w:widowControl/>
        <w:spacing w:after="200" w:line="360" w:lineRule="auto"/>
        <w:ind w:firstLine="420"/>
        <w:jc w:val="left"/>
        <w:rPr>
          <w:rFonts w:ascii="宋体" w:eastAsia="宋体" w:hAnsi="宋体" w:hint="eastAsia"/>
        </w:rPr>
      </w:pPr>
      <w:r>
        <w:rPr>
          <w:rFonts w:ascii="宋体" w:eastAsia="宋体" w:hAnsi="宋体" w:hint="eastAsia"/>
        </w:rPr>
        <w:t>在法律全球化背景的当下，批判性借鉴域外立法成果促进本国法律发展已成为趋势。本文该部分将以美国破产法中有关劣后债权的相关规定为制度基础，探讨美国劣后债权制度对我国劣后债权制度构建的启示。</w:t>
      </w:r>
    </w:p>
    <w:p w14:paraId="77B79B7A" w14:textId="6134E8CD" w:rsidR="0058224F" w:rsidRDefault="0058224F" w:rsidP="007950AF">
      <w:pPr>
        <w:widowControl/>
        <w:spacing w:after="200" w:line="360" w:lineRule="auto"/>
        <w:ind w:firstLine="420"/>
        <w:jc w:val="left"/>
        <w:rPr>
          <w:rFonts w:ascii="宋体" w:eastAsia="宋体" w:hAnsi="宋体" w:hint="eastAsia"/>
        </w:rPr>
      </w:pPr>
      <w:r w:rsidRPr="0058224F">
        <w:rPr>
          <w:rFonts w:ascii="宋体" w:eastAsia="宋体" w:hAnsi="宋体"/>
        </w:rPr>
        <w:t>美国劣后债权制度的发展经历了一个从判例法到成文法的漫长过程。19 世纪末，美国法院开始在一些案件中探索适用衡平居次原则，将实施了不公平行为的债权人的债权劣后清偿。1938 年，美国联邦最高法院在泰勒诉标准石油电力公司案中正式确立了深石原则，标志着衡平居次原则成为美国破产法的一项重要规则。1978 年，美国国会对《破产法典》进行了全面修订，在第 510 条中明确规定了约定劣后、法定劣后与衡平劣后三种类型，将长期以来的司法实践上升为成文法规则。此后，美国法院通过大量的判例不断细化第 510 条的适用标准，形成了如今体系完善、规则清晰的劣后债权制度。</w:t>
      </w:r>
    </w:p>
    <w:p w14:paraId="4C1BC9F8" w14:textId="3AD05CEF" w:rsidR="0055224A" w:rsidRPr="0055224A" w:rsidRDefault="0055224A" w:rsidP="007950AF">
      <w:pPr>
        <w:widowControl/>
        <w:spacing w:after="200" w:line="360" w:lineRule="auto"/>
        <w:jc w:val="left"/>
        <w:rPr>
          <w:rFonts w:ascii="黑体" w:eastAsia="黑体" w:hAnsi="黑体" w:hint="eastAsia"/>
          <w:b/>
          <w:kern w:val="0"/>
          <w:sz w:val="24"/>
        </w:rPr>
      </w:pPr>
      <w:r w:rsidRPr="0055224A">
        <w:rPr>
          <w:rFonts w:ascii="黑体" w:eastAsia="黑体" w:hAnsi="黑体" w:hint="eastAsia"/>
          <w:b/>
          <w:kern w:val="0"/>
          <w:sz w:val="24"/>
        </w:rPr>
        <w:t>（</w:t>
      </w:r>
      <w:r w:rsidRPr="0055224A">
        <w:rPr>
          <w:rFonts w:ascii="黑体" w:eastAsia="黑体" w:hAnsi="黑体"/>
          <w:b/>
          <w:kern w:val="0"/>
          <w:sz w:val="24"/>
        </w:rPr>
        <w:t>一</w:t>
      </w:r>
      <w:r w:rsidRPr="0055224A">
        <w:rPr>
          <w:rFonts w:ascii="黑体" w:eastAsia="黑体" w:hAnsi="黑体" w:hint="eastAsia"/>
          <w:b/>
          <w:kern w:val="0"/>
          <w:sz w:val="24"/>
        </w:rPr>
        <w:t>）</w:t>
      </w:r>
      <w:r w:rsidRPr="0055224A">
        <w:rPr>
          <w:rFonts w:ascii="黑体" w:eastAsia="黑体" w:hAnsi="黑体"/>
          <w:b/>
          <w:kern w:val="0"/>
          <w:sz w:val="24"/>
        </w:rPr>
        <w:t>美国破产法关于劣后债权的规定</w:t>
      </w:r>
    </w:p>
    <w:p w14:paraId="612015E5" w14:textId="6C6CC522" w:rsidR="0055224A" w:rsidRPr="0055224A" w:rsidRDefault="0055224A" w:rsidP="007950AF">
      <w:pPr>
        <w:widowControl/>
        <w:spacing w:after="200" w:line="360" w:lineRule="auto"/>
        <w:ind w:firstLine="420"/>
        <w:jc w:val="left"/>
        <w:rPr>
          <w:rFonts w:ascii="宋体" w:eastAsia="宋体" w:hAnsi="宋体" w:hint="eastAsia"/>
        </w:rPr>
      </w:pPr>
      <w:r w:rsidRPr="0055224A">
        <w:rPr>
          <w:rFonts w:ascii="宋体" w:eastAsia="宋体" w:hAnsi="宋体"/>
        </w:rPr>
        <w:t>美国破产法中的劣后债权制度集中规定于《美国破产法典》第 510 条，同时结合百年司法实践形成了体系化的规则框架，</w:t>
      </w:r>
      <w:r w:rsidR="00BC54AA">
        <w:rPr>
          <w:rFonts w:ascii="宋体" w:eastAsia="宋体" w:hAnsi="宋体" w:hint="eastAsia"/>
        </w:rPr>
        <w:t>将劣后债权细分为</w:t>
      </w:r>
      <w:r w:rsidRPr="0055224A">
        <w:rPr>
          <w:rFonts w:ascii="宋体" w:eastAsia="宋体" w:hAnsi="宋体"/>
        </w:rPr>
        <w:t>约定劣后</w:t>
      </w:r>
      <w:r w:rsidR="00411EF4">
        <w:rPr>
          <w:rFonts w:ascii="宋体" w:eastAsia="宋体" w:hAnsi="宋体" w:hint="eastAsia"/>
        </w:rPr>
        <w:t>（第510条a款）</w:t>
      </w:r>
      <w:r w:rsidRPr="0055224A">
        <w:rPr>
          <w:rFonts w:ascii="宋体" w:eastAsia="宋体" w:hAnsi="宋体"/>
        </w:rPr>
        <w:t>、法定劣后</w:t>
      </w:r>
      <w:r w:rsidR="00411EF4">
        <w:rPr>
          <w:rFonts w:ascii="宋体" w:eastAsia="宋体" w:hAnsi="宋体" w:hint="eastAsia"/>
        </w:rPr>
        <w:t>（第510条b款）</w:t>
      </w:r>
      <w:r w:rsidRPr="0055224A">
        <w:rPr>
          <w:rFonts w:ascii="宋体" w:eastAsia="宋体" w:hAnsi="宋体"/>
        </w:rPr>
        <w:t>、衡平劣后</w:t>
      </w:r>
      <w:r w:rsidR="00411EF4">
        <w:rPr>
          <w:rFonts w:ascii="宋体" w:eastAsia="宋体" w:hAnsi="宋体" w:hint="eastAsia"/>
        </w:rPr>
        <w:t>（第510条c款）</w:t>
      </w:r>
      <w:r w:rsidRPr="0055224A">
        <w:rPr>
          <w:rFonts w:ascii="宋体" w:eastAsia="宋体" w:hAnsi="宋体"/>
        </w:rPr>
        <w:t>三大类型：</w:t>
      </w:r>
    </w:p>
    <w:p w14:paraId="26F4D420" w14:textId="02D46C9F" w:rsidR="0055224A" w:rsidRPr="0055224A" w:rsidRDefault="0055224A" w:rsidP="007950AF">
      <w:pPr>
        <w:widowControl/>
        <w:spacing w:after="200" w:line="360" w:lineRule="auto"/>
        <w:ind w:firstLine="420"/>
        <w:jc w:val="left"/>
        <w:rPr>
          <w:rFonts w:ascii="宋体" w:eastAsia="宋体" w:hAnsi="宋体" w:hint="eastAsia"/>
        </w:rPr>
      </w:pPr>
      <w:r w:rsidRPr="0055224A">
        <w:rPr>
          <w:rFonts w:ascii="宋体" w:eastAsia="宋体" w:hAnsi="宋体" w:hint="eastAsia"/>
        </w:rPr>
        <w:t>1、</w:t>
      </w:r>
      <w:r w:rsidRPr="0055224A">
        <w:rPr>
          <w:rFonts w:ascii="宋体" w:eastAsia="宋体" w:hAnsi="宋体"/>
        </w:rPr>
        <w:t>约定劣后</w:t>
      </w:r>
    </w:p>
    <w:p w14:paraId="197A929D" w14:textId="2925F886" w:rsidR="0055224A" w:rsidRPr="0055224A" w:rsidRDefault="0055224A" w:rsidP="007950AF">
      <w:pPr>
        <w:widowControl/>
        <w:spacing w:after="200" w:line="360" w:lineRule="auto"/>
        <w:ind w:firstLine="420"/>
        <w:jc w:val="left"/>
        <w:rPr>
          <w:rFonts w:ascii="宋体" w:eastAsia="宋体" w:hAnsi="宋体" w:hint="eastAsia"/>
        </w:rPr>
      </w:pPr>
      <w:r w:rsidRPr="0055224A">
        <w:rPr>
          <w:rFonts w:ascii="宋体" w:eastAsia="宋体" w:hAnsi="宋体"/>
        </w:rPr>
        <w:t>该条款明确承认并执行债权人之间合法有效的债权劣后约定，只要当事人在破产程序外通过合同达成了债权清偿顺位的劣后安排，且不违反法律强制性规定与公序良俗，破产法院必须在破产程序中予以执行，不得因破产程序的启动否定商事主体对风险与清偿顺位的自主安排。这一规则</w:t>
      </w:r>
      <w:r w:rsidR="00BC54AA">
        <w:rPr>
          <w:rFonts w:ascii="宋体" w:eastAsia="宋体" w:hAnsi="宋体" w:hint="eastAsia"/>
        </w:rPr>
        <w:t>体现了美国商事交往活跃、融资需求大的经济基础，也是应对金融风险的制度保障。</w:t>
      </w:r>
    </w:p>
    <w:p w14:paraId="0E57535A" w14:textId="2A57C2A4" w:rsidR="0055224A" w:rsidRPr="0055224A" w:rsidRDefault="0055224A" w:rsidP="007950AF">
      <w:pPr>
        <w:widowControl/>
        <w:spacing w:after="200" w:line="360" w:lineRule="auto"/>
        <w:ind w:firstLine="420"/>
        <w:jc w:val="left"/>
        <w:rPr>
          <w:rFonts w:ascii="宋体" w:eastAsia="宋体" w:hAnsi="宋体" w:hint="eastAsia"/>
        </w:rPr>
      </w:pPr>
      <w:r>
        <w:rPr>
          <w:rFonts w:ascii="宋体" w:eastAsia="宋体" w:hAnsi="宋体" w:hint="eastAsia"/>
        </w:rPr>
        <w:lastRenderedPageBreak/>
        <w:t>2、</w:t>
      </w:r>
      <w:r w:rsidRPr="0055224A">
        <w:rPr>
          <w:rFonts w:ascii="宋体" w:eastAsia="宋体" w:hAnsi="宋体"/>
        </w:rPr>
        <w:t>法定劣后</w:t>
      </w:r>
    </w:p>
    <w:p w14:paraId="47254DA8" w14:textId="6BD5F839" w:rsidR="0055224A" w:rsidRPr="0055224A" w:rsidRDefault="0055224A" w:rsidP="007950AF">
      <w:pPr>
        <w:widowControl/>
        <w:spacing w:after="200" w:line="360" w:lineRule="auto"/>
        <w:ind w:firstLine="420"/>
        <w:jc w:val="left"/>
        <w:rPr>
          <w:rFonts w:ascii="宋体" w:eastAsia="宋体" w:hAnsi="宋体" w:hint="eastAsia"/>
        </w:rPr>
      </w:pPr>
      <w:r w:rsidRPr="0055224A">
        <w:rPr>
          <w:rFonts w:ascii="宋体" w:eastAsia="宋体" w:hAnsi="宋体"/>
        </w:rPr>
        <w:t>该条款明确了必须无条件劣后于所有普通无担保债权清偿的债权类型，核心是与债务人证券发行、股权相关的债权，具体包括：因撤销</w:t>
      </w:r>
      <w:r w:rsidR="00074A75">
        <w:rPr>
          <w:rFonts w:ascii="宋体" w:eastAsia="宋体" w:hAnsi="宋体" w:hint="eastAsia"/>
        </w:rPr>
        <w:t>或</w:t>
      </w:r>
      <w:r w:rsidRPr="0055224A">
        <w:rPr>
          <w:rFonts w:ascii="宋体" w:eastAsia="宋体" w:hAnsi="宋体"/>
        </w:rPr>
        <w:t>拒绝承继债务人证券买卖协议产生的损害赔偿请求权；因证券发行中的虚假陈述、欺诈等违法行为产生的损害赔偿债权；股东基于其股东身份产生的债权。此类债权因与债务人资本充足性、资本市场交易秩序直接相关，被立法直接划定为劣后顺位，不得与普通商事债权获得平等清偿。</w:t>
      </w:r>
    </w:p>
    <w:p w14:paraId="7D20F514" w14:textId="03D2D95F" w:rsidR="0055224A" w:rsidRPr="0055224A" w:rsidRDefault="0055224A" w:rsidP="007950AF">
      <w:pPr>
        <w:widowControl/>
        <w:spacing w:after="200" w:line="360" w:lineRule="auto"/>
        <w:ind w:firstLine="420"/>
        <w:jc w:val="left"/>
        <w:rPr>
          <w:rFonts w:ascii="宋体" w:eastAsia="宋体" w:hAnsi="宋体" w:hint="eastAsia"/>
        </w:rPr>
      </w:pPr>
      <w:r w:rsidRPr="0055224A">
        <w:rPr>
          <w:rFonts w:ascii="宋体" w:eastAsia="宋体" w:hAnsi="宋体" w:hint="eastAsia"/>
        </w:rPr>
        <w:t>3、</w:t>
      </w:r>
      <w:r w:rsidRPr="0055224A">
        <w:rPr>
          <w:rFonts w:ascii="宋体" w:eastAsia="宋体" w:hAnsi="宋体"/>
        </w:rPr>
        <w:t>衡平劣后</w:t>
      </w:r>
    </w:p>
    <w:p w14:paraId="7466F24E" w14:textId="2655D912" w:rsidR="0055224A" w:rsidRPr="0055224A" w:rsidRDefault="0055224A" w:rsidP="007950AF">
      <w:pPr>
        <w:widowControl/>
        <w:spacing w:after="200" w:line="360" w:lineRule="auto"/>
        <w:ind w:firstLine="420"/>
        <w:jc w:val="left"/>
        <w:rPr>
          <w:rFonts w:ascii="宋体" w:eastAsia="宋体" w:hAnsi="宋体" w:hint="eastAsia"/>
        </w:rPr>
      </w:pPr>
      <w:r w:rsidRPr="0055224A">
        <w:rPr>
          <w:rFonts w:ascii="宋体" w:eastAsia="宋体" w:hAnsi="宋体"/>
        </w:rPr>
        <w:t>该条款将美国司法实践中著名的</w:t>
      </w:r>
      <w:r w:rsidRPr="009927B5">
        <w:rPr>
          <w:rFonts w:ascii="宋体" w:eastAsia="宋体" w:hAnsi="宋体"/>
        </w:rPr>
        <w:t>深石原则（Deep Rock Doctrine）</w:t>
      </w:r>
      <w:r w:rsidRPr="0055224A">
        <w:rPr>
          <w:rFonts w:ascii="宋体" w:eastAsia="宋体" w:hAnsi="宋体"/>
        </w:rPr>
        <w:t>成文化，是美国劣后债权制度最具特色的部分。其核心内容为：破产法院有权基于衡平原则，将实施了不公平行为的债权人的债权，全部或部分劣后于其他普通无担保债权清偿，甚至可否定其担保物权的优先效力。</w:t>
      </w:r>
    </w:p>
    <w:p w14:paraId="3D4D11B2" w14:textId="6C9EFD2B" w:rsidR="001461A1" w:rsidRDefault="001461A1" w:rsidP="007950AF">
      <w:pPr>
        <w:widowControl/>
        <w:spacing w:after="200" w:line="360" w:lineRule="auto"/>
        <w:ind w:firstLine="420"/>
        <w:jc w:val="left"/>
        <w:rPr>
          <w:rFonts w:ascii="宋体" w:eastAsia="宋体" w:hAnsi="宋体" w:hint="eastAsia"/>
        </w:rPr>
      </w:pPr>
      <w:r w:rsidRPr="001461A1">
        <w:rPr>
          <w:rFonts w:ascii="宋体" w:eastAsia="宋体" w:hAnsi="宋体" w:hint="eastAsia"/>
        </w:rPr>
        <w:t>在司法实践中，该规则的适用必须满足三个核心要素：第一，债权人实施了不公平且不诚信的行为</w:t>
      </w:r>
      <w:r>
        <w:rPr>
          <w:rFonts w:ascii="宋体" w:eastAsia="宋体" w:hAnsi="宋体" w:hint="eastAsia"/>
        </w:rPr>
        <w:t>，如</w:t>
      </w:r>
      <w:r w:rsidRPr="001461A1">
        <w:rPr>
          <w:rFonts w:ascii="宋体" w:eastAsia="宋体" w:hAnsi="宋体" w:hint="eastAsia"/>
        </w:rPr>
        <w:t>控股股东对债务人的不正当控制、通过关联交易进行利益输送、虚假出资或抽逃出资，以及利用内部人身份损害其他债权人的利益；第二，该行为已对其他债权人或破产财产造成了实际损害；第三，债权的劣后化处理符合破产法中“公平分配”的核心立法宗旨。该规则最常适用于控股股东或公司内部人对债务人所持有的债权，在某些情况下，也可延伸至实施了不公平行为的普通商业债权人。</w:t>
      </w:r>
    </w:p>
    <w:p w14:paraId="1481C4A2" w14:textId="3F5865FB" w:rsidR="00294FE3" w:rsidRPr="0055224A" w:rsidRDefault="00294FE3" w:rsidP="007950AF">
      <w:pPr>
        <w:widowControl/>
        <w:spacing w:after="200" w:line="360" w:lineRule="auto"/>
        <w:jc w:val="left"/>
        <w:rPr>
          <w:rFonts w:ascii="黑体" w:eastAsia="黑体" w:hAnsi="黑体" w:hint="eastAsia"/>
          <w:b/>
          <w:kern w:val="0"/>
          <w:sz w:val="24"/>
        </w:rPr>
      </w:pPr>
      <w:r w:rsidRPr="00294FE3">
        <w:rPr>
          <w:rFonts w:ascii="黑体" w:eastAsia="黑体" w:hAnsi="黑体" w:hint="eastAsia"/>
          <w:b/>
          <w:kern w:val="0"/>
          <w:sz w:val="24"/>
        </w:rPr>
        <w:t>（</w:t>
      </w:r>
      <w:r w:rsidR="00D47EFF">
        <w:rPr>
          <w:rFonts w:ascii="黑体" w:eastAsia="黑体" w:hAnsi="黑体" w:hint="eastAsia"/>
          <w:b/>
          <w:kern w:val="0"/>
          <w:sz w:val="24"/>
        </w:rPr>
        <w:t>二</w:t>
      </w:r>
      <w:r w:rsidRPr="00294FE3">
        <w:rPr>
          <w:rFonts w:ascii="黑体" w:eastAsia="黑体" w:hAnsi="黑体" w:hint="eastAsia"/>
          <w:b/>
          <w:kern w:val="0"/>
          <w:sz w:val="24"/>
        </w:rPr>
        <w:t>）对中国劣后</w:t>
      </w:r>
      <w:r w:rsidR="00B90509">
        <w:rPr>
          <w:rFonts w:ascii="黑体" w:eastAsia="黑体" w:hAnsi="黑体" w:hint="eastAsia"/>
          <w:b/>
          <w:kern w:val="0"/>
          <w:sz w:val="24"/>
        </w:rPr>
        <w:t>债权</w:t>
      </w:r>
      <w:r w:rsidRPr="00294FE3">
        <w:rPr>
          <w:rFonts w:ascii="黑体" w:eastAsia="黑体" w:hAnsi="黑体" w:hint="eastAsia"/>
          <w:b/>
          <w:kern w:val="0"/>
          <w:sz w:val="24"/>
        </w:rPr>
        <w:t>制度构建的启示</w:t>
      </w:r>
    </w:p>
    <w:p w14:paraId="4DC827E3" w14:textId="2A633F67" w:rsidR="00B90509" w:rsidRPr="00B90509" w:rsidRDefault="00B90509" w:rsidP="007950AF">
      <w:pPr>
        <w:widowControl/>
        <w:spacing w:after="200" w:line="360" w:lineRule="auto"/>
        <w:ind w:firstLine="420"/>
        <w:jc w:val="left"/>
        <w:rPr>
          <w:rFonts w:ascii="宋体" w:eastAsia="宋体" w:hAnsi="宋体" w:hint="eastAsia"/>
        </w:rPr>
      </w:pPr>
      <w:r w:rsidRPr="00B90509">
        <w:rPr>
          <w:rFonts w:ascii="宋体" w:eastAsia="宋体" w:hAnsi="宋体" w:hint="eastAsia"/>
        </w:rPr>
        <w:t>虽然我国通过《破产审判会议纪要》已经引入了劣后债权制度，并且各级法院在司法实践中已经摸索出了一套中国本土化的劣后债权认定规则，</w:t>
      </w:r>
      <w:r>
        <w:rPr>
          <w:rFonts w:ascii="宋体" w:eastAsia="宋体" w:hAnsi="宋体" w:hint="eastAsia"/>
        </w:rPr>
        <w:t>但</w:t>
      </w:r>
      <w:r w:rsidRPr="00B90509">
        <w:rPr>
          <w:rFonts w:ascii="宋体" w:eastAsia="宋体" w:hAnsi="宋体" w:hint="eastAsia"/>
        </w:rPr>
        <w:t>我国现行《企业破产法》尚未构建体系化的劣后债权制度，仅在司法解释中对股东出资不实相关债权、关联交易不当债权等个别劣后情形作出零散规定，</w:t>
      </w:r>
      <w:r>
        <w:rPr>
          <w:rFonts w:ascii="宋体" w:eastAsia="宋体" w:hAnsi="宋体" w:hint="eastAsia"/>
        </w:rPr>
        <w:t>且由于各级法院做出的具体操作流程存在差异，</w:t>
      </w:r>
      <w:r w:rsidRPr="00B90509">
        <w:rPr>
          <w:rFonts w:ascii="宋体" w:eastAsia="宋体" w:hAnsi="宋体" w:hint="eastAsia"/>
        </w:rPr>
        <w:t>实践中存在法定适用范围不清晰、裁判规则不统一、</w:t>
      </w:r>
      <w:r>
        <w:rPr>
          <w:rFonts w:ascii="宋体" w:eastAsia="宋体" w:hAnsi="宋体" w:hint="eastAsia"/>
        </w:rPr>
        <w:t>相关制度缺失</w:t>
      </w:r>
      <w:r w:rsidRPr="00B90509">
        <w:rPr>
          <w:rFonts w:ascii="宋体" w:eastAsia="宋体" w:hAnsi="宋体" w:hint="eastAsia"/>
        </w:rPr>
        <w:t>等问题。美国</w:t>
      </w:r>
      <w:r>
        <w:rPr>
          <w:rFonts w:ascii="宋体" w:eastAsia="宋体" w:hAnsi="宋体" w:hint="eastAsia"/>
        </w:rPr>
        <w:t>成熟的劣后债权制度</w:t>
      </w:r>
      <w:r w:rsidRPr="00B90509">
        <w:rPr>
          <w:rFonts w:ascii="宋体" w:eastAsia="宋体" w:hAnsi="宋体" w:hint="eastAsia"/>
        </w:rPr>
        <w:t>，为我国劣后债权制度的体系化构建，提供</w:t>
      </w:r>
      <w:r>
        <w:rPr>
          <w:rFonts w:ascii="宋体" w:eastAsia="宋体" w:hAnsi="宋体" w:hint="eastAsia"/>
        </w:rPr>
        <w:t>了以下三点</w:t>
      </w:r>
      <w:r w:rsidRPr="00B90509">
        <w:rPr>
          <w:rFonts w:ascii="宋体" w:eastAsia="宋体" w:hAnsi="宋体" w:hint="eastAsia"/>
        </w:rPr>
        <w:t>参考路径</w:t>
      </w:r>
      <w:r w:rsidR="00312CC1">
        <w:rPr>
          <w:rFonts w:ascii="宋体" w:eastAsia="宋体" w:hAnsi="宋体" w:hint="eastAsia"/>
        </w:rPr>
        <w:t>：</w:t>
      </w:r>
    </w:p>
    <w:p w14:paraId="12AF1658" w14:textId="2EE7B13E" w:rsidR="00B90509" w:rsidRPr="00B90509" w:rsidRDefault="00B90509" w:rsidP="007950AF">
      <w:pPr>
        <w:widowControl/>
        <w:spacing w:after="200" w:line="360" w:lineRule="auto"/>
        <w:ind w:firstLine="420"/>
        <w:jc w:val="left"/>
        <w:rPr>
          <w:rFonts w:ascii="宋体" w:eastAsia="宋体" w:hAnsi="宋体" w:hint="eastAsia"/>
        </w:rPr>
      </w:pPr>
      <w:r w:rsidRPr="00B90509">
        <w:rPr>
          <w:rFonts w:ascii="宋体" w:eastAsia="宋体" w:hAnsi="宋体" w:hint="eastAsia"/>
        </w:rPr>
        <w:t>第一，</w:t>
      </w:r>
      <w:r>
        <w:rPr>
          <w:rFonts w:ascii="宋体" w:eastAsia="宋体" w:hAnsi="宋体" w:hint="eastAsia"/>
        </w:rPr>
        <w:t>以法律的行使确定</w:t>
      </w:r>
      <w:r w:rsidRPr="00B90509">
        <w:rPr>
          <w:rFonts w:ascii="宋体" w:eastAsia="宋体" w:hAnsi="宋体" w:hint="eastAsia"/>
        </w:rPr>
        <w:t>劣后债权的适用范围与清偿顺位。</w:t>
      </w:r>
      <w:r>
        <w:rPr>
          <w:rFonts w:ascii="宋体" w:eastAsia="宋体" w:hAnsi="宋体" w:hint="eastAsia"/>
        </w:rPr>
        <w:t>可以</w:t>
      </w:r>
      <w:r w:rsidRPr="00B90509">
        <w:rPr>
          <w:rFonts w:ascii="宋体" w:eastAsia="宋体" w:hAnsi="宋体" w:hint="eastAsia"/>
        </w:rPr>
        <w:t>在《企业破产法》修订中，设专节明确法定劣后债权的法定类型，将逾期申报的无担保债权、非补偿性惩罚性</w:t>
      </w:r>
      <w:r w:rsidRPr="00B90509">
        <w:rPr>
          <w:rFonts w:ascii="宋体" w:eastAsia="宋体" w:hAnsi="宋体" w:hint="eastAsia"/>
        </w:rPr>
        <w:lastRenderedPageBreak/>
        <w:t>债权等具有普遍适用性的劣后情形纳入成文法规范，明确其绝对劣后于普通无担保债权的清偿顺位，消除当前司法实践中的裁判分歧，维护破产程序的法律安定性与统一适用。</w:t>
      </w:r>
    </w:p>
    <w:p w14:paraId="61F8F081" w14:textId="7CEA18CE" w:rsidR="00B90509" w:rsidRPr="00B90509" w:rsidRDefault="00B90509" w:rsidP="007950AF">
      <w:pPr>
        <w:widowControl/>
        <w:spacing w:after="200" w:line="360" w:lineRule="auto"/>
        <w:ind w:firstLine="420"/>
        <w:jc w:val="left"/>
        <w:rPr>
          <w:rFonts w:ascii="宋体" w:eastAsia="宋体" w:hAnsi="宋体" w:hint="eastAsia"/>
        </w:rPr>
      </w:pPr>
      <w:r w:rsidRPr="00B90509">
        <w:rPr>
          <w:rFonts w:ascii="宋体" w:eastAsia="宋体" w:hAnsi="宋体" w:hint="eastAsia"/>
        </w:rPr>
        <w:t>第二，厘清惩罚性债权的功能边界，确立非补偿性惩罚债权的绝对劣后规则。针对当前司法实践中，公法罚款、罚金与普通补偿性债权同顺位清偿，导致普通债权人利益受损的现实困境，可借鉴美国《破产法典》第 726 条 (a) 款第 4 项的立法经验，以“是否填补债权人实际金钱损失”为核心判断标准，将所有非补偿性的公法惩戒与私法惩罚性赔偿，统一纳入法定劣后债权范畴，优先保障普通债权人的实际损失受偿，回归破产法公平清偿的核心立法宗旨。</w:t>
      </w:r>
    </w:p>
    <w:p w14:paraId="3C582361" w14:textId="6EF78BDC" w:rsidR="0055224A" w:rsidRDefault="00B90509" w:rsidP="007950AF">
      <w:pPr>
        <w:widowControl/>
        <w:spacing w:after="200" w:line="360" w:lineRule="auto"/>
        <w:ind w:firstLine="420"/>
        <w:jc w:val="left"/>
        <w:rPr>
          <w:rFonts w:ascii="宋体" w:eastAsia="宋体" w:hAnsi="宋体" w:hint="eastAsia"/>
        </w:rPr>
      </w:pPr>
      <w:r w:rsidRPr="00B90509">
        <w:rPr>
          <w:rFonts w:ascii="宋体" w:eastAsia="宋体" w:hAnsi="宋体" w:hint="eastAsia"/>
        </w:rPr>
        <w:t>第三，正式引入衡平劣后制度</w:t>
      </w:r>
      <w:r>
        <w:rPr>
          <w:rFonts w:ascii="宋体" w:eastAsia="宋体" w:hAnsi="宋体" w:hint="eastAsia"/>
        </w:rPr>
        <w:t>。</w:t>
      </w:r>
      <w:r w:rsidRPr="00B90509">
        <w:rPr>
          <w:rFonts w:ascii="宋体" w:eastAsia="宋体" w:hAnsi="宋体" w:hint="eastAsia"/>
        </w:rPr>
        <w:t>在《企业破产法》中明确确立衡平劣后规则，明确法院的司法审查权限与适用标准，针对债权人实施的滥用控制权、不正当关联交易、损害破产财团利益等不公平行为，赋予法院判决其债权劣后清偿的权力，为个案中的实质公平提供兜底规制路径，与法定劣后规则形成制度互补，全面落实破产法的公平清偿原则。</w:t>
      </w:r>
    </w:p>
    <w:p w14:paraId="303DEF7A" w14:textId="2FA3444F" w:rsidR="00DE532E" w:rsidRDefault="00DE532E" w:rsidP="007950AF">
      <w:pPr>
        <w:widowControl/>
        <w:spacing w:after="200" w:line="360" w:lineRule="auto"/>
        <w:jc w:val="left"/>
        <w:rPr>
          <w:rFonts w:ascii="黑体" w:eastAsia="黑体" w:hAnsi="黑体" w:hint="eastAsia"/>
          <w:b/>
          <w:kern w:val="0"/>
          <w:sz w:val="28"/>
        </w:rPr>
      </w:pPr>
      <w:r w:rsidRPr="00DE532E">
        <w:rPr>
          <w:rFonts w:ascii="黑体" w:eastAsia="黑体" w:hAnsi="黑体" w:hint="eastAsia"/>
          <w:b/>
          <w:kern w:val="0"/>
          <w:sz w:val="28"/>
        </w:rPr>
        <w:t>四</w:t>
      </w:r>
      <w:r w:rsidRPr="00DE532E">
        <w:rPr>
          <w:rFonts w:ascii="黑体" w:eastAsia="黑体" w:hAnsi="黑体"/>
          <w:b/>
          <w:kern w:val="0"/>
          <w:sz w:val="28"/>
        </w:rPr>
        <w:t>、我国现行劣后债权</w:t>
      </w:r>
      <w:r w:rsidR="006F5725">
        <w:rPr>
          <w:rFonts w:ascii="黑体" w:eastAsia="黑体" w:hAnsi="黑体" w:hint="eastAsia"/>
          <w:b/>
          <w:kern w:val="0"/>
          <w:sz w:val="28"/>
        </w:rPr>
        <w:t>立法层面缺陷</w:t>
      </w:r>
      <w:r w:rsidRPr="00DE532E">
        <w:rPr>
          <w:rFonts w:ascii="黑体" w:eastAsia="黑体" w:hAnsi="黑体"/>
          <w:b/>
          <w:kern w:val="0"/>
          <w:sz w:val="28"/>
        </w:rPr>
        <w:t>与司法</w:t>
      </w:r>
      <w:r w:rsidR="006F5725">
        <w:rPr>
          <w:rFonts w:ascii="黑体" w:eastAsia="黑体" w:hAnsi="黑体" w:hint="eastAsia"/>
          <w:b/>
          <w:kern w:val="0"/>
          <w:sz w:val="28"/>
        </w:rPr>
        <w:t>实践</w:t>
      </w:r>
      <w:r w:rsidRPr="00DE532E">
        <w:rPr>
          <w:rFonts w:ascii="黑体" w:eastAsia="黑体" w:hAnsi="黑体"/>
          <w:b/>
          <w:kern w:val="0"/>
          <w:sz w:val="28"/>
        </w:rPr>
        <w:t>困境</w:t>
      </w:r>
    </w:p>
    <w:p w14:paraId="796BE6E3" w14:textId="32331BDC" w:rsidR="006F5725" w:rsidRPr="006F5725" w:rsidRDefault="006F5725" w:rsidP="007950AF">
      <w:pPr>
        <w:widowControl/>
        <w:spacing w:after="200" w:line="360" w:lineRule="auto"/>
        <w:jc w:val="left"/>
        <w:rPr>
          <w:rFonts w:ascii="黑体" w:eastAsia="黑体" w:hAnsi="黑体" w:hint="eastAsia"/>
          <w:b/>
          <w:kern w:val="0"/>
          <w:sz w:val="24"/>
        </w:rPr>
      </w:pPr>
      <w:r w:rsidRPr="006F5725">
        <w:rPr>
          <w:rFonts w:ascii="黑体" w:eastAsia="黑体" w:hAnsi="黑体" w:hint="eastAsia"/>
          <w:b/>
          <w:kern w:val="0"/>
          <w:sz w:val="24"/>
        </w:rPr>
        <w:t>(</w:t>
      </w:r>
      <w:r w:rsidR="009927B5">
        <w:rPr>
          <w:rFonts w:ascii="黑体" w:eastAsia="黑体" w:hAnsi="黑体" w:hint="eastAsia"/>
          <w:b/>
          <w:kern w:val="0"/>
          <w:sz w:val="24"/>
        </w:rPr>
        <w:t>一</w:t>
      </w:r>
      <w:r w:rsidRPr="006F5725">
        <w:rPr>
          <w:rFonts w:ascii="黑体" w:eastAsia="黑体" w:hAnsi="黑体" w:hint="eastAsia"/>
          <w:b/>
          <w:kern w:val="0"/>
          <w:sz w:val="24"/>
        </w:rPr>
        <w:t>)劣后债权立法层面缺陷</w:t>
      </w:r>
    </w:p>
    <w:p w14:paraId="4B58C95E" w14:textId="0F0C8EA9" w:rsidR="00286EEA" w:rsidRPr="00286EEA" w:rsidRDefault="00286EEA" w:rsidP="007950AF">
      <w:pPr>
        <w:widowControl/>
        <w:spacing w:after="200" w:line="360" w:lineRule="auto"/>
        <w:ind w:firstLine="420"/>
        <w:jc w:val="left"/>
        <w:rPr>
          <w:rFonts w:ascii="宋体" w:eastAsia="宋体" w:hAnsi="宋体" w:hint="eastAsia"/>
        </w:rPr>
      </w:pPr>
      <w:r w:rsidRPr="00286EEA">
        <w:rPr>
          <w:rFonts w:ascii="宋体" w:eastAsia="宋体" w:hAnsi="宋体"/>
        </w:rPr>
        <w:t>尽管我国已通过《破产会议纪要》引入了债权劣后清偿制度，各级法院也在司法实践中探索形成了一套认定劣后债权的本土化规则，但我国现行《企业破产法》尚未建立起系统的劣后债权制度，仅在司法解释中针对股东出资不足债权、不当关联交易债权等特定劣后情形作出了零散规定。此外，由于各级法院在具体操作程序上存在差异，实践中出现了法定适用范围不明确、司法裁判不统一以及相关规定存在漏洞等问题。美国成熟的劣后债权制度为我国构建系统化的劣后债权体系提供了三条参考路径：</w:t>
      </w:r>
    </w:p>
    <w:p w14:paraId="2831FFEE" w14:textId="77777777" w:rsidR="00286EEA" w:rsidRPr="00286EEA" w:rsidRDefault="00286EEA" w:rsidP="007950AF">
      <w:pPr>
        <w:widowControl/>
        <w:spacing w:after="200" w:line="360" w:lineRule="auto"/>
        <w:ind w:firstLine="420"/>
        <w:jc w:val="left"/>
        <w:rPr>
          <w:rFonts w:ascii="宋体" w:eastAsia="宋体" w:hAnsi="宋体" w:hint="eastAsia"/>
        </w:rPr>
      </w:pPr>
      <w:r w:rsidRPr="00286EEA">
        <w:rPr>
          <w:rFonts w:ascii="宋体" w:eastAsia="宋体" w:hAnsi="宋体"/>
        </w:rPr>
        <w:t>第一，通过立法明确劣后债权的范围与顺位。在《企业破产法》修订过程中，可以设立专门章节，清晰界定劣后债权的法定类型。将逾期申报的无担保债权、非补偿性惩罚性债权等具有普遍适用性的劣后情形纳入成文法规范，明确规定其在清偿顺位上绝对劣后于普通无担保债权。这将消除当前司法实践中的分歧，维护破产程序中法律的稳定性与统一适用。</w:t>
      </w:r>
    </w:p>
    <w:p w14:paraId="21340CB4" w14:textId="77777777" w:rsidR="00286EEA" w:rsidRPr="00286EEA" w:rsidRDefault="00286EEA" w:rsidP="007950AF">
      <w:pPr>
        <w:widowControl/>
        <w:spacing w:after="200" w:line="360" w:lineRule="auto"/>
        <w:ind w:firstLine="420"/>
        <w:jc w:val="left"/>
        <w:rPr>
          <w:rFonts w:ascii="宋体" w:eastAsia="宋体" w:hAnsi="宋体" w:hint="eastAsia"/>
        </w:rPr>
      </w:pPr>
      <w:r w:rsidRPr="00286EEA">
        <w:rPr>
          <w:rFonts w:ascii="宋体" w:eastAsia="宋体" w:hAnsi="宋体"/>
        </w:rPr>
        <w:lastRenderedPageBreak/>
        <w:t>第二，厘清惩罚性债权的功能边界，确立非补偿性惩罚性债权的绝对劣后规则。针对当前司法实践中公法罚款、罚金与普通补偿性债权按同一顺位清偿从而损害普通债权人利益的问题，可以借鉴《美国破产法典》第 726 (a)(4) 条的立法经验，以 "是否弥补债权人实际金钱损失" 为核心判断标准，将所有非补偿性的公法制裁与私罚性损害赔偿金统一归入法定劣后债权，优先清偿普通债权人的实际损失，回归破产法公平清偿的核心立法目的。</w:t>
      </w:r>
    </w:p>
    <w:p w14:paraId="48D02E71" w14:textId="77777777" w:rsidR="00286EEA" w:rsidRDefault="00286EEA" w:rsidP="007950AF">
      <w:pPr>
        <w:widowControl/>
        <w:spacing w:after="200" w:line="360" w:lineRule="auto"/>
        <w:ind w:firstLine="420"/>
        <w:jc w:val="left"/>
        <w:rPr>
          <w:rFonts w:ascii="宋体" w:eastAsia="宋体" w:hAnsi="宋体" w:hint="eastAsia"/>
        </w:rPr>
      </w:pPr>
      <w:r w:rsidRPr="00286EEA">
        <w:rPr>
          <w:rFonts w:ascii="宋体" w:eastAsia="宋体" w:hAnsi="宋体"/>
        </w:rPr>
        <w:t>第三，正式引入衡平居次制度。在《企业破产法》中明确确立衡平居次规则，厘清法院的司法审查权限与适用标准。对于债权人滥用控制权、进行不当关联交易或损害破产财团利益等不公平行为，赋予法院将其债权劣后清偿的权力。这为个案中实现实质公平提供了规制机制，与法定劣后规则形成互补，全面落实破产法的公平清偿原则。</w:t>
      </w:r>
    </w:p>
    <w:p w14:paraId="485FDBE8" w14:textId="44C80763" w:rsidR="006F5725" w:rsidRDefault="006F5725" w:rsidP="007950AF">
      <w:pPr>
        <w:widowControl/>
        <w:spacing w:after="200" w:line="360" w:lineRule="auto"/>
        <w:jc w:val="left"/>
        <w:rPr>
          <w:rFonts w:ascii="黑体" w:eastAsia="黑体" w:hAnsi="黑体" w:hint="eastAsia"/>
          <w:b/>
          <w:kern w:val="0"/>
          <w:sz w:val="24"/>
        </w:rPr>
      </w:pPr>
      <w:r w:rsidRPr="006F5725">
        <w:rPr>
          <w:rFonts w:ascii="黑体" w:eastAsia="黑体" w:hAnsi="黑体" w:hint="eastAsia"/>
          <w:b/>
          <w:kern w:val="0"/>
          <w:sz w:val="24"/>
        </w:rPr>
        <w:t>（二）劣后债权司法</w:t>
      </w:r>
      <w:r>
        <w:rPr>
          <w:rFonts w:ascii="黑体" w:eastAsia="黑体" w:hAnsi="黑体" w:hint="eastAsia"/>
          <w:b/>
          <w:kern w:val="0"/>
          <w:sz w:val="24"/>
        </w:rPr>
        <w:t>实践</w:t>
      </w:r>
      <w:r w:rsidRPr="006F5725">
        <w:rPr>
          <w:rFonts w:ascii="黑体" w:eastAsia="黑体" w:hAnsi="黑体" w:hint="eastAsia"/>
          <w:b/>
          <w:kern w:val="0"/>
          <w:sz w:val="24"/>
        </w:rPr>
        <w:t>困境</w:t>
      </w:r>
    </w:p>
    <w:p w14:paraId="45113C51" w14:textId="77777777" w:rsidR="00CF70D2" w:rsidRPr="00CF70D2" w:rsidRDefault="00CF70D2" w:rsidP="007950AF">
      <w:pPr>
        <w:widowControl/>
        <w:spacing w:after="200" w:line="360" w:lineRule="auto"/>
        <w:ind w:firstLine="420"/>
        <w:jc w:val="left"/>
        <w:rPr>
          <w:rFonts w:ascii="宋体" w:eastAsia="宋体" w:hAnsi="宋体" w:hint="eastAsia"/>
        </w:rPr>
      </w:pPr>
      <w:r w:rsidRPr="00CF70D2">
        <w:rPr>
          <w:rFonts w:ascii="宋体" w:eastAsia="宋体" w:hAnsi="宋体"/>
        </w:rPr>
        <w:t>第一，由于缺乏明确的法律规定，我国司法实践中对于劣后债权的认定与处理存在严重的 "同案不同判" 现象。以 "加倍支付迟延履行期间的债务利息" 为例：在最高人民法院 (2019) 最高法民申 4786 号案件中，法院认为迟延期间的加倍利息具有民事惩罚性质，应当劣后于普通债权清偿；而在最高人民法院 (2018) 最高法民再 25 号案件中，法院则认为该加倍利息构成法定执行债权，应当与普通债权同等对待。这种甚至出现在最高人民法院层面的司法分歧，不仅侵害了当事人的合法权益，也严重损害了破产程序的公信力。</w:t>
      </w:r>
    </w:p>
    <w:p w14:paraId="4143C226" w14:textId="77777777" w:rsidR="00CF70D2" w:rsidRPr="00CF70D2" w:rsidRDefault="00CF70D2" w:rsidP="007950AF">
      <w:pPr>
        <w:widowControl/>
        <w:spacing w:after="200" w:line="360" w:lineRule="auto"/>
        <w:ind w:firstLine="420"/>
        <w:jc w:val="left"/>
        <w:rPr>
          <w:rFonts w:ascii="宋体" w:eastAsia="宋体" w:hAnsi="宋体" w:hint="eastAsia"/>
        </w:rPr>
      </w:pPr>
      <w:r w:rsidRPr="00CF70D2">
        <w:rPr>
          <w:rFonts w:ascii="宋体" w:eastAsia="宋体" w:hAnsi="宋体"/>
        </w:rPr>
        <w:t>第二，我国现行法律未明确规定劣后协议在破产程序中的法律效力，导致实践中对于次级债、夹层融资中劣后协议的效力存在重大争议。例如，在最高人民法院 (2020) 最高法民终 794 号案件中，法院基于债券募集说明书的明确约定，认可了商业银行二级资本债券的劣后效力；而在广东省深圳市中级人民法院 (2024) 粤 03 民终 23183 号案件中，法院则以私人劣后协议损害其他债权人利益、违反破产公平清偿原则为由，否定了其效力。此外，现行法律对于劣后协议对非协议当事人的约束力也未作出明确规定。</w:t>
      </w:r>
    </w:p>
    <w:p w14:paraId="5F7BF3A9" w14:textId="77777777" w:rsidR="00CF70D2" w:rsidRPr="00CF70D2" w:rsidRDefault="00CF70D2" w:rsidP="007950AF">
      <w:pPr>
        <w:widowControl/>
        <w:spacing w:after="200" w:line="360" w:lineRule="auto"/>
        <w:ind w:firstLine="420"/>
        <w:jc w:val="left"/>
        <w:rPr>
          <w:rFonts w:ascii="宋体" w:eastAsia="宋体" w:hAnsi="宋体" w:hint="eastAsia"/>
        </w:rPr>
      </w:pPr>
      <w:r w:rsidRPr="00CF70D2">
        <w:rPr>
          <w:rFonts w:ascii="宋体" w:eastAsia="宋体" w:hAnsi="宋体"/>
        </w:rPr>
        <w:t>第三，我国现行法律未对劣后债权的申报、审查、确认及表决程序作出特别规定，导致实践中出现诸多问题。例如，在债权申报阶段，劣后债权与普通债权适用相同的申报程序，使得破产管理人难以有效识别和审查劣后债权。在债权人会议阶段，劣后债权持有人</w:t>
      </w:r>
      <w:r w:rsidRPr="00CF70D2">
        <w:rPr>
          <w:rFonts w:ascii="宋体" w:eastAsia="宋体" w:hAnsi="宋体"/>
        </w:rPr>
        <w:lastRenderedPageBreak/>
        <w:t>与普通债权人享有同等的表决权，这显然不合理 —— 因为劣后债权的清偿顺序在普通债权之后，普通债权的调整与分配方案对劣后债权持有人的利益影响相对较小。允许劣后债权持有人参与普通债权调整方案的表决，可能导致劣后债权持有人滥用表决权，进而损害普通债权人的利益。</w:t>
      </w:r>
    </w:p>
    <w:p w14:paraId="15623B5D" w14:textId="106BADD7" w:rsidR="007357C4" w:rsidRPr="007357C4" w:rsidRDefault="007357C4" w:rsidP="007950AF">
      <w:pPr>
        <w:widowControl/>
        <w:spacing w:after="200" w:line="360" w:lineRule="auto"/>
        <w:jc w:val="left"/>
        <w:rPr>
          <w:rFonts w:ascii="黑体" w:eastAsia="黑体" w:hAnsi="黑体" w:hint="eastAsia"/>
          <w:b/>
          <w:kern w:val="0"/>
          <w:sz w:val="28"/>
        </w:rPr>
      </w:pPr>
      <w:r w:rsidRPr="007357C4">
        <w:rPr>
          <w:rFonts w:ascii="黑体" w:eastAsia="黑体" w:hAnsi="黑体" w:hint="eastAsia"/>
          <w:b/>
          <w:kern w:val="0"/>
          <w:sz w:val="28"/>
        </w:rPr>
        <w:t>五、结论</w:t>
      </w:r>
    </w:p>
    <w:p w14:paraId="008C8B66" w14:textId="046442C5" w:rsidR="007357C4" w:rsidRPr="006F5725" w:rsidRDefault="007357C4" w:rsidP="007950AF">
      <w:pPr>
        <w:widowControl/>
        <w:spacing w:after="200" w:line="360" w:lineRule="auto"/>
        <w:ind w:firstLine="420"/>
        <w:jc w:val="left"/>
        <w:rPr>
          <w:rFonts w:ascii="宋体" w:eastAsia="宋体" w:hAnsi="宋体" w:hint="eastAsia"/>
        </w:rPr>
      </w:pPr>
      <w:r w:rsidRPr="007357C4">
        <w:rPr>
          <w:rFonts w:ascii="宋体" w:eastAsia="宋体" w:hAnsi="宋体"/>
        </w:rPr>
        <w:t>破产劣后债权制度是破产法从 "形式公平" 向 "实质公平" 转型的重要标志。我国现行的二元清偿结构已难以满足司法实践的需求，引入劣后债权制度具有充分的可行性与必要性。我国应当借鉴美国破产法的成熟经验，结合我国国情，构建 "法定劣后 + 约定劣后 + 衡平劣后" 三位一体的三元清偿体系。明确法定劣后债权的具体类型与认定标准，规范约定劣后债权的效力，确立衡平劣后制度的适用要件与举证责任，完善配套的程序规则。这一制度构建不仅能解决当前司法实践中裁判尺度不一的问题，更能有效规范关联交易与内部人债权，保护普通债权人合法权益，提升破产程序的运行效率与公平性。</w:t>
      </w:r>
    </w:p>
    <w:sectPr w:rsidR="007357C4" w:rsidRPr="006F57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F8041" w14:textId="77777777" w:rsidR="007E4FE4" w:rsidRDefault="007E4FE4" w:rsidP="00625EF7">
      <w:pPr>
        <w:rPr>
          <w:rFonts w:hint="eastAsia"/>
        </w:rPr>
      </w:pPr>
      <w:r>
        <w:separator/>
      </w:r>
    </w:p>
  </w:endnote>
  <w:endnote w:type="continuationSeparator" w:id="0">
    <w:p w14:paraId="39057D6E" w14:textId="77777777" w:rsidR="007E4FE4" w:rsidRDefault="007E4FE4" w:rsidP="00625E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C1840" w14:textId="77777777" w:rsidR="007E4FE4" w:rsidRDefault="007E4FE4" w:rsidP="00625EF7">
      <w:pPr>
        <w:rPr>
          <w:rFonts w:hint="eastAsia"/>
        </w:rPr>
      </w:pPr>
      <w:r>
        <w:separator/>
      </w:r>
    </w:p>
  </w:footnote>
  <w:footnote w:type="continuationSeparator" w:id="0">
    <w:p w14:paraId="579BBF54" w14:textId="77777777" w:rsidR="007E4FE4" w:rsidRDefault="007E4FE4" w:rsidP="00625EF7">
      <w:pPr>
        <w:rPr>
          <w:rFonts w:hint="eastAsia"/>
        </w:rPr>
      </w:pPr>
      <w:r>
        <w:continuationSeparator/>
      </w:r>
    </w:p>
  </w:footnote>
  <w:footnote w:id="1">
    <w:p w14:paraId="4B8DD9D0" w14:textId="5C043DFF" w:rsidR="005D139C" w:rsidRPr="006342DD" w:rsidRDefault="005D139C">
      <w:pPr>
        <w:pStyle w:val="af2"/>
        <w:rPr>
          <w:rFonts w:ascii="宋体" w:eastAsia="宋体" w:hAnsi="宋体" w:hint="eastAsia"/>
        </w:rPr>
      </w:pPr>
      <w:r>
        <w:rPr>
          <w:rStyle w:val="af4"/>
          <w:rFonts w:hint="eastAsia"/>
        </w:rPr>
        <w:footnoteRef/>
      </w:r>
      <w:r>
        <w:rPr>
          <w:rFonts w:hint="eastAsia"/>
        </w:rPr>
        <w:t xml:space="preserve"> </w:t>
      </w:r>
      <w:r w:rsidRPr="006342DD">
        <w:rPr>
          <w:rFonts w:ascii="宋体" w:eastAsia="宋体" w:hAnsi="宋体" w:hint="eastAsia"/>
        </w:rPr>
        <w:t>《中华人民共和国企业破产法》第43条、第109条、第113条。</w:t>
      </w:r>
    </w:p>
  </w:footnote>
  <w:footnote w:id="2">
    <w:p w14:paraId="622006C5" w14:textId="77777777" w:rsidR="006F1EDE" w:rsidRPr="006342DD" w:rsidRDefault="006F1EDE" w:rsidP="006F1EDE">
      <w:pPr>
        <w:pStyle w:val="af2"/>
        <w:rPr>
          <w:rFonts w:ascii="宋体" w:eastAsia="宋体" w:hAnsi="宋体" w:hint="eastAsia"/>
        </w:rPr>
      </w:pPr>
      <w:r w:rsidRPr="006342DD">
        <w:rPr>
          <w:rStyle w:val="af4"/>
          <w:rFonts w:ascii="宋体" w:eastAsia="宋体" w:hAnsi="宋体" w:hint="eastAsia"/>
        </w:rPr>
        <w:footnoteRef/>
      </w:r>
      <w:r w:rsidRPr="006342DD">
        <w:rPr>
          <w:rFonts w:ascii="宋体" w:eastAsia="宋体" w:hAnsi="宋体" w:hint="eastAsia"/>
        </w:rPr>
        <w:t xml:space="preserve"> 最高人民法院关于印发《全国法院破产审判工作会议纪要》的通知第28条：破产债权的清偿原则和顺序。对于法律没有明确规定清偿顺序的债权，人民法院可以按照人身损害赔偿债权优先于财产性债权、私法债权优先于公法债权、补偿性债权优先于惩罚性债权的原则合理确定清偿顺序。因债务人侵权行为造成的人身损害赔偿，可以参照企业破产法第一百一十三条第一款第一项规定的顺序清偿，但其中涉及的惩罚性赔偿除外。破产财产依照企业破产法第一百一十三条规定的顺序清偿后仍有剩余的，可依次用于清偿破产受理前产生的民事惩罚性赔偿金、行政罚款、刑事罚金等惩罚性债权；第39条：协调审理的法律后果。协调审理不消灭关联企业成员之间的债权债务关系，不对关联企业成员的财产进行合并，各关联企业成员的债权人仍以该企业成员财产为限依法获得清偿。但关联企业成员之间不当利用关联关系形成的债权，应当劣后于其他普通债权顺序清偿，且该劣后债权人不得就其他关联企业成员提供的特定财产优先受偿。</w:t>
      </w:r>
    </w:p>
  </w:footnote>
  <w:footnote w:id="3">
    <w:p w14:paraId="142DC48A" w14:textId="77777777" w:rsidR="00970BA5" w:rsidRDefault="00970BA5" w:rsidP="00970BA5">
      <w:pPr>
        <w:pStyle w:val="af2"/>
        <w:rPr>
          <w:rFonts w:hint="eastAsia"/>
        </w:rPr>
      </w:pPr>
      <w:r>
        <w:rPr>
          <w:rStyle w:val="af4"/>
          <w:rFonts w:hint="eastAsia"/>
        </w:rPr>
        <w:footnoteRef/>
      </w:r>
      <w:r>
        <w:rPr>
          <w:rFonts w:hint="eastAsia"/>
        </w:rPr>
        <w:t xml:space="preserve"> </w:t>
      </w:r>
      <w:r w:rsidRPr="002A63F9">
        <w:t>§</w:t>
      </w:r>
      <w:r>
        <w:rPr>
          <w:rFonts w:hint="eastAsia"/>
        </w:rPr>
        <w:t>510</w:t>
      </w:r>
      <w:r w:rsidRPr="002A63F9">
        <w:rPr>
          <w:rFonts w:hint="eastAsia"/>
        </w:rPr>
        <w:t>(a)</w:t>
      </w:r>
      <w:r>
        <w:rPr>
          <w:rFonts w:hint="eastAsia"/>
        </w:rPr>
        <w:t xml:space="preserve"> </w:t>
      </w:r>
      <w:r w:rsidRPr="002A63F9">
        <w:rPr>
          <w:rFonts w:hint="eastAsia"/>
        </w:rPr>
        <w:t xml:space="preserve">A subordination agreement is enforceable in a case under this title to the same extent that such agreement is enforceable under applicable </w:t>
      </w:r>
      <w:proofErr w:type="spellStart"/>
      <w:r w:rsidRPr="002A63F9">
        <w:rPr>
          <w:rFonts w:hint="eastAsia"/>
        </w:rPr>
        <w:t>nonbankruptcy</w:t>
      </w:r>
      <w:proofErr w:type="spellEnd"/>
      <w:r w:rsidRPr="002A63F9">
        <w:rPr>
          <w:rFonts w:hint="eastAsia"/>
        </w:rPr>
        <w:t xml:space="preserve"> law.</w:t>
      </w:r>
    </w:p>
  </w:footnote>
  <w:footnote w:id="4">
    <w:p w14:paraId="1190DDD4" w14:textId="77777777" w:rsidR="00970BA5" w:rsidRPr="00346B1A" w:rsidRDefault="00970BA5" w:rsidP="00970BA5">
      <w:pPr>
        <w:pStyle w:val="af2"/>
        <w:rPr>
          <w:rFonts w:hint="eastAsia"/>
        </w:rPr>
      </w:pPr>
      <w:r>
        <w:rPr>
          <w:rStyle w:val="af4"/>
          <w:rFonts w:hint="eastAsia"/>
        </w:rPr>
        <w:footnoteRef/>
      </w:r>
      <w:r>
        <w:rPr>
          <w:rFonts w:hint="eastAsia"/>
        </w:rPr>
        <w:t xml:space="preserve"> Talyor v. Standard </w:t>
      </w:r>
      <w:proofErr w:type="spellStart"/>
      <w:r>
        <w:rPr>
          <w:rFonts w:hint="eastAsia"/>
        </w:rPr>
        <w:t>Gas&amp;Electric</w:t>
      </w:r>
      <w:proofErr w:type="spellEnd"/>
      <w:r>
        <w:rPr>
          <w:rFonts w:hint="eastAsia"/>
        </w:rPr>
        <w:t xml:space="preserve"> Co，305U.S. 504(1938)。</w:t>
      </w:r>
    </w:p>
  </w:footnote>
  <w:footnote w:id="5">
    <w:p w14:paraId="7D9AC8AE" w14:textId="77777777" w:rsidR="00970BA5" w:rsidRPr="003E68CF" w:rsidRDefault="00970BA5" w:rsidP="00970BA5">
      <w:pPr>
        <w:pStyle w:val="af2"/>
        <w:rPr>
          <w:rFonts w:hint="eastAsia"/>
        </w:rPr>
      </w:pPr>
      <w:r>
        <w:rPr>
          <w:rStyle w:val="af4"/>
          <w:rFonts w:hint="eastAsia"/>
        </w:rPr>
        <w:footnoteRef/>
      </w:r>
      <w:r>
        <w:rPr>
          <w:rFonts w:hint="eastAsia"/>
        </w:rPr>
        <w:t xml:space="preserve"> </w:t>
      </w:r>
      <w:r w:rsidRPr="003E68CF">
        <w:rPr>
          <w:rFonts w:hint="eastAsia"/>
        </w:rPr>
        <w:t>U.S. Code: Title 11 — BANKRUPTCY</w:t>
      </w:r>
      <w:r>
        <w:rPr>
          <w:rFonts w:hint="eastAsia"/>
        </w:rPr>
        <w:t xml:space="preserve"> </w:t>
      </w:r>
      <w:r w:rsidRPr="003E68CF">
        <w:t>§</w:t>
      </w:r>
      <w:r>
        <w:rPr>
          <w:rFonts w:hint="eastAsia"/>
        </w:rPr>
        <w:t>510(c)(1)</w:t>
      </w:r>
    </w:p>
  </w:footnote>
  <w:footnote w:id="6">
    <w:p w14:paraId="4F4FA31D" w14:textId="08E81971" w:rsidR="00975A96" w:rsidRPr="00975A96" w:rsidRDefault="00975A96">
      <w:pPr>
        <w:pStyle w:val="af2"/>
        <w:rPr>
          <w:rFonts w:hint="eastAsia"/>
          <w:b/>
          <w:bCs/>
        </w:rPr>
      </w:pPr>
      <w:r>
        <w:rPr>
          <w:rStyle w:val="af4"/>
          <w:rFonts w:hint="eastAsia"/>
        </w:rPr>
        <w:footnoteRef/>
      </w:r>
      <w:r>
        <w:rPr>
          <w:rFonts w:hint="eastAsia"/>
        </w:rPr>
        <w:t xml:space="preserve"> </w:t>
      </w:r>
      <w:r w:rsidRPr="00975A96">
        <w:rPr>
          <w:rFonts w:hint="eastAsia"/>
        </w:rPr>
        <w:t>《关于审理公司纠纷案件的若干规定（一）》（征求意见稿）第五十二条：“控制公司滥用从属公司人格的，控制公司对从属公司的债权不享有抵销权；从属公司破产清算时，控制公司不享有别除权或者优先权，其债权分配顺序次于从属公司的其他债权人。”</w:t>
      </w:r>
    </w:p>
  </w:footnote>
  <w:footnote w:id="7">
    <w:p w14:paraId="01C92864" w14:textId="62D0A4A7" w:rsidR="00AE26A5" w:rsidRDefault="00AE26A5">
      <w:pPr>
        <w:pStyle w:val="af2"/>
        <w:rPr>
          <w:rFonts w:hint="eastAsia"/>
        </w:rPr>
      </w:pPr>
      <w:r>
        <w:rPr>
          <w:rStyle w:val="af4"/>
          <w:rFonts w:hint="eastAsia"/>
        </w:rPr>
        <w:footnoteRef/>
      </w:r>
      <w:r>
        <w:rPr>
          <w:rFonts w:hint="eastAsia"/>
        </w:rPr>
        <w:t xml:space="preserve"> </w:t>
      </w:r>
      <w:r w:rsidRPr="00AE26A5">
        <w:rPr>
          <w:rFonts w:hint="eastAsia"/>
        </w:rPr>
        <w:t>王欣新：</w:t>
      </w:r>
      <w:r>
        <w:rPr>
          <w:rFonts w:hint="eastAsia"/>
        </w:rPr>
        <w:t>“</w:t>
      </w:r>
      <w:r w:rsidRPr="00AE26A5">
        <w:rPr>
          <w:rFonts w:hint="eastAsia"/>
        </w:rPr>
        <w:t>《全国法院破产审判工作会议纪要》要点解读</w:t>
      </w:r>
      <w:r>
        <w:rPr>
          <w:rFonts w:hint="eastAsia"/>
        </w:rPr>
        <w:t>”</w:t>
      </w:r>
      <w:r w:rsidRPr="00AE26A5">
        <w:rPr>
          <w:rFonts w:hint="eastAsia"/>
        </w:rPr>
        <w:t>，《法治研究》</w:t>
      </w:r>
      <w:r>
        <w:rPr>
          <w:rFonts w:hint="eastAsia"/>
        </w:rPr>
        <w:t>，</w:t>
      </w:r>
      <w:r w:rsidRPr="00AE26A5">
        <w:rPr>
          <w:rFonts w:hint="eastAsia"/>
        </w:rPr>
        <w:t>2019年第5期，第129页。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F0D"/>
    <w:multiLevelType w:val="hybridMultilevel"/>
    <w:tmpl w:val="DB24ADB0"/>
    <w:lvl w:ilvl="0" w:tplc="1534B46A">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B0A1D6F"/>
    <w:multiLevelType w:val="multilevel"/>
    <w:tmpl w:val="CA5E2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67DA0"/>
    <w:multiLevelType w:val="hybridMultilevel"/>
    <w:tmpl w:val="C04825B4"/>
    <w:lvl w:ilvl="0" w:tplc="EF86AC9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4D016A4F"/>
    <w:multiLevelType w:val="hybridMultilevel"/>
    <w:tmpl w:val="C45CA084"/>
    <w:lvl w:ilvl="0" w:tplc="8DF688B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73754533">
    <w:abstractNumId w:val="3"/>
  </w:num>
  <w:num w:numId="2" w16cid:durableId="2115975131">
    <w:abstractNumId w:val="0"/>
  </w:num>
  <w:num w:numId="3" w16cid:durableId="939994127">
    <w:abstractNumId w:val="2"/>
  </w:num>
  <w:num w:numId="4" w16cid:durableId="234439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DFB"/>
    <w:rsid w:val="00024D32"/>
    <w:rsid w:val="00043979"/>
    <w:rsid w:val="0006149E"/>
    <w:rsid w:val="00074A75"/>
    <w:rsid w:val="00093052"/>
    <w:rsid w:val="000D3005"/>
    <w:rsid w:val="00114EEA"/>
    <w:rsid w:val="00120875"/>
    <w:rsid w:val="00132D3B"/>
    <w:rsid w:val="001461A1"/>
    <w:rsid w:val="00153F3D"/>
    <w:rsid w:val="001B35F5"/>
    <w:rsid w:val="001E1EFF"/>
    <w:rsid w:val="001E7254"/>
    <w:rsid w:val="001F2D7D"/>
    <w:rsid w:val="001F4A98"/>
    <w:rsid w:val="00211F60"/>
    <w:rsid w:val="00271FE4"/>
    <w:rsid w:val="00280536"/>
    <w:rsid w:val="00286EEA"/>
    <w:rsid w:val="00294FE3"/>
    <w:rsid w:val="002A63F9"/>
    <w:rsid w:val="002A7604"/>
    <w:rsid w:val="002B0492"/>
    <w:rsid w:val="002B6705"/>
    <w:rsid w:val="002C3EC3"/>
    <w:rsid w:val="002F6341"/>
    <w:rsid w:val="00302A79"/>
    <w:rsid w:val="00312CC1"/>
    <w:rsid w:val="00317DF6"/>
    <w:rsid w:val="003220AA"/>
    <w:rsid w:val="00346B1A"/>
    <w:rsid w:val="003653A7"/>
    <w:rsid w:val="00382D0C"/>
    <w:rsid w:val="003C19D0"/>
    <w:rsid w:val="003E68CF"/>
    <w:rsid w:val="00411EF4"/>
    <w:rsid w:val="00462882"/>
    <w:rsid w:val="00475678"/>
    <w:rsid w:val="004974B7"/>
    <w:rsid w:val="004F2D3E"/>
    <w:rsid w:val="005213AE"/>
    <w:rsid w:val="00523F9D"/>
    <w:rsid w:val="00524D2E"/>
    <w:rsid w:val="00535712"/>
    <w:rsid w:val="0055224A"/>
    <w:rsid w:val="00571358"/>
    <w:rsid w:val="00575948"/>
    <w:rsid w:val="0058224F"/>
    <w:rsid w:val="00595730"/>
    <w:rsid w:val="005B6708"/>
    <w:rsid w:val="005D139C"/>
    <w:rsid w:val="00625EF7"/>
    <w:rsid w:val="006342DD"/>
    <w:rsid w:val="006502E8"/>
    <w:rsid w:val="00652C12"/>
    <w:rsid w:val="006771F6"/>
    <w:rsid w:val="006941ED"/>
    <w:rsid w:val="006C2F3E"/>
    <w:rsid w:val="006E146F"/>
    <w:rsid w:val="006F1EDE"/>
    <w:rsid w:val="006F5725"/>
    <w:rsid w:val="007357C4"/>
    <w:rsid w:val="007950AF"/>
    <w:rsid w:val="007A08F0"/>
    <w:rsid w:val="007C521B"/>
    <w:rsid w:val="007C5792"/>
    <w:rsid w:val="007E4FE4"/>
    <w:rsid w:val="008006E9"/>
    <w:rsid w:val="008162D1"/>
    <w:rsid w:val="00833995"/>
    <w:rsid w:val="00856E36"/>
    <w:rsid w:val="00857421"/>
    <w:rsid w:val="00882106"/>
    <w:rsid w:val="008B2BC5"/>
    <w:rsid w:val="008C1121"/>
    <w:rsid w:val="008D71E7"/>
    <w:rsid w:val="008F75A7"/>
    <w:rsid w:val="00943919"/>
    <w:rsid w:val="00970BA5"/>
    <w:rsid w:val="00972586"/>
    <w:rsid w:val="00975A96"/>
    <w:rsid w:val="009814C8"/>
    <w:rsid w:val="009927B5"/>
    <w:rsid w:val="00994E06"/>
    <w:rsid w:val="009C5385"/>
    <w:rsid w:val="009D0C1E"/>
    <w:rsid w:val="00A1169F"/>
    <w:rsid w:val="00A13244"/>
    <w:rsid w:val="00A37570"/>
    <w:rsid w:val="00A73E07"/>
    <w:rsid w:val="00A764E4"/>
    <w:rsid w:val="00A7797E"/>
    <w:rsid w:val="00A95B05"/>
    <w:rsid w:val="00AB1558"/>
    <w:rsid w:val="00AD0998"/>
    <w:rsid w:val="00AE26A5"/>
    <w:rsid w:val="00AE4FBD"/>
    <w:rsid w:val="00B23C18"/>
    <w:rsid w:val="00B90509"/>
    <w:rsid w:val="00B95A07"/>
    <w:rsid w:val="00BC54AA"/>
    <w:rsid w:val="00BD10BB"/>
    <w:rsid w:val="00BE2E5E"/>
    <w:rsid w:val="00C0424A"/>
    <w:rsid w:val="00C14AC3"/>
    <w:rsid w:val="00C321F7"/>
    <w:rsid w:val="00C47899"/>
    <w:rsid w:val="00C85BF4"/>
    <w:rsid w:val="00C91F0A"/>
    <w:rsid w:val="00CB67FC"/>
    <w:rsid w:val="00CB6E2C"/>
    <w:rsid w:val="00CD5F6B"/>
    <w:rsid w:val="00CD657C"/>
    <w:rsid w:val="00CF2D01"/>
    <w:rsid w:val="00CF3880"/>
    <w:rsid w:val="00CF70D2"/>
    <w:rsid w:val="00D04606"/>
    <w:rsid w:val="00D47EFF"/>
    <w:rsid w:val="00D654AF"/>
    <w:rsid w:val="00DD69DB"/>
    <w:rsid w:val="00DE097D"/>
    <w:rsid w:val="00DE47D9"/>
    <w:rsid w:val="00DE532E"/>
    <w:rsid w:val="00E21E2F"/>
    <w:rsid w:val="00E45DFB"/>
    <w:rsid w:val="00E64AC7"/>
    <w:rsid w:val="00E92FAB"/>
    <w:rsid w:val="00EB201E"/>
    <w:rsid w:val="00EB577A"/>
    <w:rsid w:val="00EB5DB8"/>
    <w:rsid w:val="00EE1C9B"/>
    <w:rsid w:val="00EF591A"/>
    <w:rsid w:val="00F23F9A"/>
    <w:rsid w:val="00F240DE"/>
    <w:rsid w:val="00F4144B"/>
    <w:rsid w:val="00F462EE"/>
    <w:rsid w:val="00F53EA9"/>
    <w:rsid w:val="00F55619"/>
    <w:rsid w:val="00F668EB"/>
    <w:rsid w:val="00F867EF"/>
    <w:rsid w:val="00FA05F0"/>
    <w:rsid w:val="00FA203E"/>
    <w:rsid w:val="00FA2159"/>
    <w:rsid w:val="00FD5C23"/>
    <w:rsid w:val="00FF34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A19DED"/>
  <w15:chartTrackingRefBased/>
  <w15:docId w15:val="{DBA941D5-FE32-42D7-A9AC-0C4F2B59B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50AF"/>
    <w:pPr>
      <w:widowControl w:val="0"/>
      <w:jc w:val="both"/>
    </w:pPr>
  </w:style>
  <w:style w:type="paragraph" w:styleId="1">
    <w:name w:val="heading 1"/>
    <w:basedOn w:val="a"/>
    <w:next w:val="a"/>
    <w:link w:val="10"/>
    <w:uiPriority w:val="9"/>
    <w:qFormat/>
    <w:rsid w:val="00E45DF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45DF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45DF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45DF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45DF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45DF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45DF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5DF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45DF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5DF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45DF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45DF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45DFB"/>
    <w:rPr>
      <w:rFonts w:cstheme="majorBidi"/>
      <w:color w:val="2F5496" w:themeColor="accent1" w:themeShade="BF"/>
      <w:sz w:val="28"/>
      <w:szCs w:val="28"/>
    </w:rPr>
  </w:style>
  <w:style w:type="character" w:customStyle="1" w:styleId="50">
    <w:name w:val="标题 5 字符"/>
    <w:basedOn w:val="a0"/>
    <w:link w:val="5"/>
    <w:uiPriority w:val="9"/>
    <w:semiHidden/>
    <w:rsid w:val="00E45DFB"/>
    <w:rPr>
      <w:rFonts w:cstheme="majorBidi"/>
      <w:color w:val="2F5496" w:themeColor="accent1" w:themeShade="BF"/>
      <w:sz w:val="24"/>
      <w:szCs w:val="24"/>
    </w:rPr>
  </w:style>
  <w:style w:type="character" w:customStyle="1" w:styleId="60">
    <w:name w:val="标题 6 字符"/>
    <w:basedOn w:val="a0"/>
    <w:link w:val="6"/>
    <w:uiPriority w:val="9"/>
    <w:semiHidden/>
    <w:rsid w:val="00E45DFB"/>
    <w:rPr>
      <w:rFonts w:cstheme="majorBidi"/>
      <w:b/>
      <w:bCs/>
      <w:color w:val="2F5496" w:themeColor="accent1" w:themeShade="BF"/>
    </w:rPr>
  </w:style>
  <w:style w:type="character" w:customStyle="1" w:styleId="70">
    <w:name w:val="标题 7 字符"/>
    <w:basedOn w:val="a0"/>
    <w:link w:val="7"/>
    <w:uiPriority w:val="9"/>
    <w:semiHidden/>
    <w:rsid w:val="00E45DFB"/>
    <w:rPr>
      <w:rFonts w:cstheme="majorBidi"/>
      <w:b/>
      <w:bCs/>
      <w:color w:val="595959" w:themeColor="text1" w:themeTint="A6"/>
    </w:rPr>
  </w:style>
  <w:style w:type="character" w:customStyle="1" w:styleId="80">
    <w:name w:val="标题 8 字符"/>
    <w:basedOn w:val="a0"/>
    <w:link w:val="8"/>
    <w:uiPriority w:val="9"/>
    <w:semiHidden/>
    <w:rsid w:val="00E45DFB"/>
    <w:rPr>
      <w:rFonts w:cstheme="majorBidi"/>
      <w:color w:val="595959" w:themeColor="text1" w:themeTint="A6"/>
    </w:rPr>
  </w:style>
  <w:style w:type="character" w:customStyle="1" w:styleId="90">
    <w:name w:val="标题 9 字符"/>
    <w:basedOn w:val="a0"/>
    <w:link w:val="9"/>
    <w:uiPriority w:val="9"/>
    <w:semiHidden/>
    <w:rsid w:val="00E45DFB"/>
    <w:rPr>
      <w:rFonts w:eastAsiaTheme="majorEastAsia" w:cstheme="majorBidi"/>
      <w:color w:val="595959" w:themeColor="text1" w:themeTint="A6"/>
    </w:rPr>
  </w:style>
  <w:style w:type="paragraph" w:styleId="a3">
    <w:name w:val="Title"/>
    <w:basedOn w:val="a"/>
    <w:next w:val="a"/>
    <w:link w:val="a4"/>
    <w:uiPriority w:val="10"/>
    <w:qFormat/>
    <w:rsid w:val="00E45DF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5D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5DF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5D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5DFB"/>
    <w:pPr>
      <w:spacing w:before="160" w:after="160"/>
      <w:jc w:val="center"/>
    </w:pPr>
    <w:rPr>
      <w:i/>
      <w:iCs/>
      <w:color w:val="404040" w:themeColor="text1" w:themeTint="BF"/>
    </w:rPr>
  </w:style>
  <w:style w:type="character" w:customStyle="1" w:styleId="a8">
    <w:name w:val="引用 字符"/>
    <w:basedOn w:val="a0"/>
    <w:link w:val="a7"/>
    <w:uiPriority w:val="29"/>
    <w:rsid w:val="00E45DFB"/>
    <w:rPr>
      <w:i/>
      <w:iCs/>
      <w:color w:val="404040" w:themeColor="text1" w:themeTint="BF"/>
    </w:rPr>
  </w:style>
  <w:style w:type="paragraph" w:styleId="a9">
    <w:name w:val="List Paragraph"/>
    <w:basedOn w:val="a"/>
    <w:uiPriority w:val="34"/>
    <w:qFormat/>
    <w:rsid w:val="00E45DFB"/>
    <w:pPr>
      <w:ind w:left="720"/>
      <w:contextualSpacing/>
    </w:pPr>
  </w:style>
  <w:style w:type="character" w:styleId="aa">
    <w:name w:val="Intense Emphasis"/>
    <w:basedOn w:val="a0"/>
    <w:uiPriority w:val="21"/>
    <w:qFormat/>
    <w:rsid w:val="00E45DFB"/>
    <w:rPr>
      <w:i/>
      <w:iCs/>
      <w:color w:val="2F5496" w:themeColor="accent1" w:themeShade="BF"/>
    </w:rPr>
  </w:style>
  <w:style w:type="paragraph" w:styleId="ab">
    <w:name w:val="Intense Quote"/>
    <w:basedOn w:val="a"/>
    <w:next w:val="a"/>
    <w:link w:val="ac"/>
    <w:uiPriority w:val="30"/>
    <w:qFormat/>
    <w:rsid w:val="00E45D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45DFB"/>
    <w:rPr>
      <w:i/>
      <w:iCs/>
      <w:color w:val="2F5496" w:themeColor="accent1" w:themeShade="BF"/>
    </w:rPr>
  </w:style>
  <w:style w:type="character" w:styleId="ad">
    <w:name w:val="Intense Reference"/>
    <w:basedOn w:val="a0"/>
    <w:uiPriority w:val="32"/>
    <w:qFormat/>
    <w:rsid w:val="00E45DFB"/>
    <w:rPr>
      <w:b/>
      <w:bCs/>
      <w:smallCaps/>
      <w:color w:val="2F5496" w:themeColor="accent1" w:themeShade="BF"/>
      <w:spacing w:val="5"/>
    </w:rPr>
  </w:style>
  <w:style w:type="paragraph" w:styleId="ae">
    <w:name w:val="header"/>
    <w:basedOn w:val="a"/>
    <w:link w:val="af"/>
    <w:uiPriority w:val="99"/>
    <w:unhideWhenUsed/>
    <w:rsid w:val="00625EF7"/>
    <w:pPr>
      <w:tabs>
        <w:tab w:val="center" w:pos="4153"/>
        <w:tab w:val="right" w:pos="8306"/>
      </w:tabs>
      <w:snapToGrid w:val="0"/>
      <w:jc w:val="center"/>
    </w:pPr>
    <w:rPr>
      <w:sz w:val="18"/>
      <w:szCs w:val="18"/>
    </w:rPr>
  </w:style>
  <w:style w:type="character" w:customStyle="1" w:styleId="af">
    <w:name w:val="页眉 字符"/>
    <w:basedOn w:val="a0"/>
    <w:link w:val="ae"/>
    <w:uiPriority w:val="99"/>
    <w:rsid w:val="00625EF7"/>
    <w:rPr>
      <w:sz w:val="18"/>
      <w:szCs w:val="18"/>
    </w:rPr>
  </w:style>
  <w:style w:type="paragraph" w:styleId="af0">
    <w:name w:val="footer"/>
    <w:basedOn w:val="a"/>
    <w:link w:val="af1"/>
    <w:uiPriority w:val="99"/>
    <w:unhideWhenUsed/>
    <w:rsid w:val="00625EF7"/>
    <w:pPr>
      <w:tabs>
        <w:tab w:val="center" w:pos="4153"/>
        <w:tab w:val="right" w:pos="8306"/>
      </w:tabs>
      <w:snapToGrid w:val="0"/>
      <w:jc w:val="left"/>
    </w:pPr>
    <w:rPr>
      <w:sz w:val="18"/>
      <w:szCs w:val="18"/>
    </w:rPr>
  </w:style>
  <w:style w:type="character" w:customStyle="1" w:styleId="af1">
    <w:name w:val="页脚 字符"/>
    <w:basedOn w:val="a0"/>
    <w:link w:val="af0"/>
    <w:uiPriority w:val="99"/>
    <w:rsid w:val="00625EF7"/>
    <w:rPr>
      <w:sz w:val="18"/>
      <w:szCs w:val="18"/>
    </w:rPr>
  </w:style>
  <w:style w:type="paragraph" w:styleId="af2">
    <w:name w:val="footnote text"/>
    <w:basedOn w:val="a"/>
    <w:link w:val="af3"/>
    <w:uiPriority w:val="99"/>
    <w:semiHidden/>
    <w:unhideWhenUsed/>
    <w:rsid w:val="005D139C"/>
    <w:pPr>
      <w:snapToGrid w:val="0"/>
      <w:jc w:val="left"/>
    </w:pPr>
    <w:rPr>
      <w:sz w:val="18"/>
      <w:szCs w:val="18"/>
    </w:rPr>
  </w:style>
  <w:style w:type="character" w:customStyle="1" w:styleId="af3">
    <w:name w:val="脚注文本 字符"/>
    <w:basedOn w:val="a0"/>
    <w:link w:val="af2"/>
    <w:uiPriority w:val="99"/>
    <w:semiHidden/>
    <w:rsid w:val="005D139C"/>
    <w:rPr>
      <w:sz w:val="18"/>
      <w:szCs w:val="18"/>
    </w:rPr>
  </w:style>
  <w:style w:type="character" w:styleId="af4">
    <w:name w:val="footnote reference"/>
    <w:basedOn w:val="a0"/>
    <w:uiPriority w:val="99"/>
    <w:semiHidden/>
    <w:unhideWhenUsed/>
    <w:rsid w:val="005D139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bysj.zjgsu.edu.cn/styles/images/logo.gi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868ED-FBEA-4D8E-8503-9D42124A5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1257</TotalTime>
  <Pages>12</Pages>
  <Words>4286</Words>
  <Characters>4329</Characters>
  <Application>Microsoft Office Word</Application>
  <DocSecurity>0</DocSecurity>
  <Lines>139</Lines>
  <Paragraphs>63</Paragraphs>
  <ScaleCrop>false</ScaleCrop>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水桓 陈</dc:creator>
  <cp:keywords/>
  <dc:description/>
  <cp:lastModifiedBy>水桓 陈</cp:lastModifiedBy>
  <cp:revision>88</cp:revision>
  <dcterms:created xsi:type="dcterms:W3CDTF">2026-05-01T07:13:00Z</dcterms:created>
  <dcterms:modified xsi:type="dcterms:W3CDTF">2026-05-10T10:12:00Z</dcterms:modified>
</cp:coreProperties>
</file>