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破产中的惩罚性债权劣后理论"/>
    <w:p>
      <w:pPr>
        <w:pStyle w:val="Heading1"/>
      </w:pPr>
      <w:r>
        <w:t xml:space="preserve">破产中的惩罚性债权劣后理论</w:t>
      </w:r>
    </w:p>
    <w:p>
      <w:pPr>
        <w:pStyle w:val="FirstParagraph"/>
      </w:pPr>
      <w:r>
        <w:rPr>
          <w:bCs/>
          <w:b/>
        </w:rPr>
        <w:t xml:space="preserve">——兼论比较法视野下的制度构建</w:t>
      </w:r>
    </w:p>
    <w:p>
      <w:r>
        <w:pict>
          <v:rect style="width:0;height:1.5pt" o:hralign="center" o:hrstd="t" o:hr="t"/>
        </w:pict>
      </w:r>
    </w:p>
    <w:p>
      <w:pPr>
        <w:pStyle w:val="FirstParagraph"/>
      </w:pPr>
      <w:r>
        <w:rPr>
          <w:bCs/>
          <w:b/>
        </w:rPr>
        <w:t xml:space="preserve">摘　要</w:t>
      </w:r>
    </w:p>
    <w:p>
      <w:pPr>
        <w:pStyle w:val="BodyText"/>
      </w:pPr>
      <w:r>
        <w:t xml:space="preserve">惩罚性债权在破产程序中的清偿顺位问题，是破产法理论与实践中的核心争议之一。我国现行《企业破产法》对劣后债权制度缺乏系统规定，导致司法实践中对惩罚性赔偿金、行政罚款、刑事罚金等惩罚性债权的处理缺乏统一标准。本文以惩罚性债权劣后清偿为研究对象，首先从破产法的公平受偿原则、补偿优先理念及债权平等主义出发，阐释惩罚性债权劣后清偿的理论正当性；其次通过比较法方法，系统考察美国衡平居次原则（深石原则）、德国《支付不能法》劣后债权制度以及日本破产法的债权层级体系；在此基础上分析我国司法实践中的典型案例与制度困境；最终结合《企业破产法（修订草案）》第162条的立法动向，提出完善我国惩罚性债权劣后清偿制度的具体建议。</w:t>
      </w:r>
    </w:p>
    <w:p>
      <w:pPr>
        <w:pStyle w:val="BodyText"/>
      </w:pPr>
      <w:r>
        <w:rPr>
          <w:bCs/>
          <w:b/>
        </w:rPr>
        <w:t xml:space="preserve">关键词：</w:t>
      </w:r>
      <w:r>
        <w:t xml:space="preserve"> </w:t>
      </w:r>
      <w:r>
        <w:t xml:space="preserve">破产法；惩罚性债权；劣后债权；衡平居次原则；清偿顺位；比较法</w:t>
      </w:r>
    </w:p>
    <w:p>
      <w:pPr>
        <w:pStyle w:val="BodyText"/>
      </w:pPr>
      <w:r>
        <w:rPr>
          <w:bCs/>
          <w:b/>
        </w:rPr>
        <w:t xml:space="preserve">Abstract</w:t>
      </w:r>
    </w:p>
    <w:p>
      <w:pPr>
        <w:pStyle w:val="BodyText"/>
      </w:pPr>
      <w:r>
        <w:t xml:space="preserve">The priority of punitive claims in bankruptcy proceedings is one of the core controversies in insolvency law theory and practice. China’s current Enterprise Bankruptcy Law lacks systematic provisions on subordinated claims, resulting in inconsistent judicial treatment of punitive damages, administrative fines, and criminal penalties in bankruptcy. This thesis focuses on the subordination of punitive claims, first establishing theoretical justification through the principles of equitable distribution, compensation priority, and creditor equality; then conducting a comparative analysis of the US equitable subordination doctrine (Deep Rock Doctrine), Germany’s subordinated claims regime under the Insolvenzordnung, and Japan’s hierarchical claim system; subsequently examining typical cases and institutional difficulties in Chinese judicial practice; and finally proposing specific suggestions for improving China’s punitive claim subordination system, with reference to Article 162 of the Draft Revision of the Enterprise Bankruptcy Law.</w:t>
      </w:r>
    </w:p>
    <w:p>
      <w:pPr>
        <w:pStyle w:val="BodyText"/>
      </w:pPr>
      <w:r>
        <w:rPr>
          <w:bCs/>
          <w:b/>
        </w:rPr>
        <w:t xml:space="preserve">Keywords:</w:t>
      </w:r>
      <w:r>
        <w:t xml:space="preserve"> </w:t>
      </w:r>
      <w:r>
        <w:t xml:space="preserve">Bankruptcy Law; Punitive Claims; Subordinated Claims; Equitable Subordination; Claim Priority; Comparative Law</w:t>
      </w:r>
    </w:p>
    <w:p>
      <w:r>
        <w:pict>
          <v:rect style="width:0;height:1.5pt" o:hralign="center" o:hrstd="t" o:hr="t"/>
        </w:pict>
      </w:r>
    </w:p>
    <w:bookmarkStart w:id="20" w:name="目-录"/>
    <w:p>
      <w:pPr>
        <w:pStyle w:val="Heading2"/>
      </w:pPr>
      <w:r>
        <w:t xml:space="preserve">目　录</w:t>
      </w:r>
    </w:p>
    <w:p>
      <w:pPr>
        <w:numPr>
          <w:ilvl w:val="0"/>
          <w:numId w:val="1001"/>
        </w:numPr>
        <w:pStyle w:val="Compact"/>
      </w:pPr>
      <w:hyperlink w:anchor="引言">
        <w:r>
          <w:rPr>
            <w:rStyle w:val="Hyperlink"/>
          </w:rPr>
          <w:t xml:space="preserve">引言</w:t>
        </w:r>
      </w:hyperlink>
    </w:p>
    <w:p>
      <w:pPr>
        <w:numPr>
          <w:ilvl w:val="0"/>
          <w:numId w:val="1001"/>
        </w:numPr>
        <w:pStyle w:val="Compact"/>
      </w:pPr>
      <w:hyperlink w:anchor="第一章-惩罚性债权劣后清偿的基本范畴">
        <w:r>
          <w:rPr>
            <w:rStyle w:val="Hyperlink"/>
          </w:rPr>
          <w:t xml:space="preserve">第一章 惩罚性债权劣后清偿的基本范畴</w:t>
        </w:r>
      </w:hyperlink>
    </w:p>
    <w:p>
      <w:pPr>
        <w:numPr>
          <w:ilvl w:val="1"/>
          <w:numId w:val="1002"/>
        </w:numPr>
        <w:pStyle w:val="Compact"/>
      </w:pPr>
      <w:hyperlink w:anchor="第一节-惩罚性债权的概念界定">
        <w:r>
          <w:rPr>
            <w:rStyle w:val="Hyperlink"/>
          </w:rPr>
          <w:t xml:space="preserve">第一节 惩罚性债权的概念界定</w:t>
        </w:r>
      </w:hyperlink>
    </w:p>
    <w:p>
      <w:pPr>
        <w:numPr>
          <w:ilvl w:val="1"/>
          <w:numId w:val="1002"/>
        </w:numPr>
        <w:pStyle w:val="Compact"/>
      </w:pPr>
      <w:hyperlink w:anchor="第二节-劣后债权的基本内涵">
        <w:r>
          <w:rPr>
            <w:rStyle w:val="Hyperlink"/>
          </w:rPr>
          <w:t xml:space="preserve">第二节 劣后债权的基本内涵</w:t>
        </w:r>
      </w:hyperlink>
    </w:p>
    <w:p>
      <w:pPr>
        <w:numPr>
          <w:ilvl w:val="1"/>
          <w:numId w:val="1002"/>
        </w:numPr>
        <w:pStyle w:val="Compact"/>
      </w:pPr>
      <w:hyperlink w:anchor="第三节-惩罚性债权劣后清偿的逻辑前提">
        <w:r>
          <w:rPr>
            <w:rStyle w:val="Hyperlink"/>
          </w:rPr>
          <w:t xml:space="preserve">第三节 惩罚性债权劣后清偿的逻辑前提</w:t>
        </w:r>
      </w:hyperlink>
    </w:p>
    <w:p>
      <w:pPr>
        <w:numPr>
          <w:ilvl w:val="0"/>
          <w:numId w:val="1001"/>
        </w:numPr>
        <w:pStyle w:val="Compact"/>
      </w:pPr>
      <w:hyperlink w:anchor="第二章-惩罚性债权劣后清偿的理论基础">
        <w:r>
          <w:rPr>
            <w:rStyle w:val="Hyperlink"/>
          </w:rPr>
          <w:t xml:space="preserve">第二章 惩罚性债权劣后清偿的理论基础</w:t>
        </w:r>
      </w:hyperlink>
    </w:p>
    <w:p>
      <w:pPr>
        <w:numPr>
          <w:ilvl w:val="1"/>
          <w:numId w:val="1003"/>
        </w:numPr>
        <w:pStyle w:val="Compact"/>
      </w:pPr>
      <w:hyperlink w:anchor="第一节-公平受偿原则">
        <w:r>
          <w:rPr>
            <w:rStyle w:val="Hyperlink"/>
          </w:rPr>
          <w:t xml:space="preserve">第一节 公平受偿原则</w:t>
        </w:r>
      </w:hyperlink>
    </w:p>
    <w:p>
      <w:pPr>
        <w:numPr>
          <w:ilvl w:val="1"/>
          <w:numId w:val="1003"/>
        </w:numPr>
        <w:pStyle w:val="Compact"/>
      </w:pPr>
      <w:hyperlink w:anchor="第二节-补偿性优先于惩罚性的价值位阶">
        <w:r>
          <w:rPr>
            <w:rStyle w:val="Hyperlink"/>
          </w:rPr>
          <w:t xml:space="preserve">第二节 补偿性优先于惩罚性的价值位阶</w:t>
        </w:r>
      </w:hyperlink>
    </w:p>
    <w:p>
      <w:pPr>
        <w:numPr>
          <w:ilvl w:val="1"/>
          <w:numId w:val="1003"/>
        </w:numPr>
        <w:pStyle w:val="Compact"/>
      </w:pPr>
      <w:hyperlink w:anchor="第三节-破产法的社会本位属性">
        <w:r>
          <w:rPr>
            <w:rStyle w:val="Hyperlink"/>
          </w:rPr>
          <w:t xml:space="preserve">第三节 破产法的社会本位属性</w:t>
        </w:r>
      </w:hyperlink>
    </w:p>
    <w:p>
      <w:pPr>
        <w:numPr>
          <w:ilvl w:val="1"/>
          <w:numId w:val="1003"/>
        </w:numPr>
        <w:pStyle w:val="Compact"/>
      </w:pPr>
      <w:hyperlink w:anchor="第四节-破产程序的概括清偿机理">
        <w:r>
          <w:rPr>
            <w:rStyle w:val="Hyperlink"/>
          </w:rPr>
          <w:t xml:space="preserve">第四节 破产程序的概括清偿机理</w:t>
        </w:r>
      </w:hyperlink>
    </w:p>
    <w:p>
      <w:pPr>
        <w:numPr>
          <w:ilvl w:val="0"/>
          <w:numId w:val="1001"/>
        </w:numPr>
        <w:pStyle w:val="Compact"/>
      </w:pPr>
      <w:hyperlink w:anchor="第三章-惩罚性债权劣后制度的比较法考察">
        <w:r>
          <w:rPr>
            <w:rStyle w:val="Hyperlink"/>
          </w:rPr>
          <w:t xml:space="preserve">第三章 惩罚性债权劣后制度的比较法考察</w:t>
        </w:r>
      </w:hyperlink>
    </w:p>
    <w:p>
      <w:pPr>
        <w:numPr>
          <w:ilvl w:val="1"/>
          <w:numId w:val="1004"/>
        </w:numPr>
        <w:pStyle w:val="Compact"/>
      </w:pPr>
      <w:hyperlink w:anchor="第一节-美国衡平居次原则与深石原则">
        <w:r>
          <w:rPr>
            <w:rStyle w:val="Hyperlink"/>
          </w:rPr>
          <w:t xml:space="preserve">第一节 美国：衡平居次原则与深石原则</w:t>
        </w:r>
      </w:hyperlink>
    </w:p>
    <w:p>
      <w:pPr>
        <w:numPr>
          <w:ilvl w:val="1"/>
          <w:numId w:val="1004"/>
        </w:numPr>
        <w:pStyle w:val="Compact"/>
      </w:pPr>
      <w:hyperlink w:anchor="第二节-德国支付不能法劣后债权制度">
        <w:r>
          <w:rPr>
            <w:rStyle w:val="Hyperlink"/>
          </w:rPr>
          <w:t xml:space="preserve">第二节 德国：《支付不能法》劣后债权制度</w:t>
        </w:r>
      </w:hyperlink>
    </w:p>
    <w:p>
      <w:pPr>
        <w:numPr>
          <w:ilvl w:val="1"/>
          <w:numId w:val="1004"/>
        </w:numPr>
        <w:pStyle w:val="Compact"/>
      </w:pPr>
      <w:hyperlink w:anchor="第三节-日本破产债权的层级化体系">
        <w:r>
          <w:rPr>
            <w:rStyle w:val="Hyperlink"/>
          </w:rPr>
          <w:t xml:space="preserve">第三节 日本：破产债权的层级化体系</w:t>
        </w:r>
      </w:hyperlink>
    </w:p>
    <w:p>
      <w:pPr>
        <w:numPr>
          <w:ilvl w:val="1"/>
          <w:numId w:val="1004"/>
        </w:numPr>
        <w:pStyle w:val="Compact"/>
      </w:pPr>
      <w:hyperlink w:anchor="第四节-三国制度的比较与启示">
        <w:r>
          <w:rPr>
            <w:rStyle w:val="Hyperlink"/>
          </w:rPr>
          <w:t xml:space="preserve">第四节 三国制度的比较与启示</w:t>
        </w:r>
      </w:hyperlink>
    </w:p>
    <w:p>
      <w:pPr>
        <w:numPr>
          <w:ilvl w:val="0"/>
          <w:numId w:val="1001"/>
        </w:numPr>
        <w:pStyle w:val="Compact"/>
      </w:pPr>
      <w:hyperlink w:anchor="第四章-我国惩罚性债权劣后清偿的实践考察">
        <w:r>
          <w:rPr>
            <w:rStyle w:val="Hyperlink"/>
          </w:rPr>
          <w:t xml:space="preserve">第四章 我国惩罚性债权劣后清偿的实践考察</w:t>
        </w:r>
      </w:hyperlink>
    </w:p>
    <w:p>
      <w:pPr>
        <w:numPr>
          <w:ilvl w:val="1"/>
          <w:numId w:val="1005"/>
        </w:numPr>
        <w:pStyle w:val="Compact"/>
      </w:pPr>
      <w:hyperlink w:anchor="第一节-规范层面的制度现状">
        <w:r>
          <w:rPr>
            <w:rStyle w:val="Hyperlink"/>
          </w:rPr>
          <w:t xml:space="preserve">第一节 规范层面的制度现状</w:t>
        </w:r>
      </w:hyperlink>
    </w:p>
    <w:p>
      <w:pPr>
        <w:numPr>
          <w:ilvl w:val="1"/>
          <w:numId w:val="1005"/>
        </w:numPr>
        <w:pStyle w:val="Compact"/>
      </w:pPr>
      <w:hyperlink w:anchor="第二节-司法实践中的典型案例">
        <w:r>
          <w:rPr>
            <w:rStyle w:val="Hyperlink"/>
          </w:rPr>
          <w:t xml:space="preserve">第二节 司法实践中的典型案例</w:t>
        </w:r>
      </w:hyperlink>
    </w:p>
    <w:p>
      <w:pPr>
        <w:numPr>
          <w:ilvl w:val="1"/>
          <w:numId w:val="1005"/>
        </w:numPr>
        <w:pStyle w:val="Compact"/>
      </w:pPr>
      <w:hyperlink w:anchor="第三节-实践中的争议焦点">
        <w:r>
          <w:rPr>
            <w:rStyle w:val="Hyperlink"/>
          </w:rPr>
          <w:t xml:space="preserve">第三节 实践中的争议焦点</w:t>
        </w:r>
      </w:hyperlink>
    </w:p>
    <w:p>
      <w:pPr>
        <w:numPr>
          <w:ilvl w:val="0"/>
          <w:numId w:val="1001"/>
        </w:numPr>
        <w:pStyle w:val="Compact"/>
      </w:pPr>
      <w:hyperlink w:anchor="第五章-完善我国惩罚性债权劣后制度的建议">
        <w:r>
          <w:rPr>
            <w:rStyle w:val="Hyperlink"/>
          </w:rPr>
          <w:t xml:space="preserve">第五章 完善我国惩罚性债权劣后制度的建议</w:t>
        </w:r>
      </w:hyperlink>
    </w:p>
    <w:p>
      <w:pPr>
        <w:numPr>
          <w:ilvl w:val="1"/>
          <w:numId w:val="1006"/>
        </w:numPr>
        <w:pStyle w:val="Compact"/>
      </w:pPr>
      <w:hyperlink w:anchor="第一节-立法层面的制度构建">
        <w:r>
          <w:rPr>
            <w:rStyle w:val="Hyperlink"/>
          </w:rPr>
          <w:t xml:space="preserve">第一节 立法层面的制度构建</w:t>
        </w:r>
      </w:hyperlink>
    </w:p>
    <w:p>
      <w:pPr>
        <w:numPr>
          <w:ilvl w:val="1"/>
          <w:numId w:val="1006"/>
        </w:numPr>
        <w:pStyle w:val="Compact"/>
      </w:pPr>
      <w:hyperlink w:anchor="第二节-司法层面的规则完善">
        <w:r>
          <w:rPr>
            <w:rStyle w:val="Hyperlink"/>
          </w:rPr>
          <w:t xml:space="preserve">第二节 司法层面的规则完善</w:t>
        </w:r>
      </w:hyperlink>
    </w:p>
    <w:p>
      <w:pPr>
        <w:numPr>
          <w:ilvl w:val="1"/>
          <w:numId w:val="1006"/>
        </w:numPr>
        <w:pStyle w:val="Compact"/>
      </w:pPr>
      <w:hyperlink w:anchor="第三节-惩罚性债权的精细化分类">
        <w:r>
          <w:rPr>
            <w:rStyle w:val="Hyperlink"/>
          </w:rPr>
          <w:t xml:space="preserve">第三节 惩罚性债权的精细化分类</w:t>
        </w:r>
      </w:hyperlink>
    </w:p>
    <w:p>
      <w:pPr>
        <w:numPr>
          <w:ilvl w:val="1"/>
          <w:numId w:val="1006"/>
        </w:numPr>
        <w:pStyle w:val="Compact"/>
      </w:pPr>
      <w:hyperlink w:anchor="第四节-劣后债权人程序性权利的保障">
        <w:r>
          <w:rPr>
            <w:rStyle w:val="Hyperlink"/>
          </w:rPr>
          <w:t xml:space="preserve">第四节 劣后债权人程序性权利的保障</w:t>
        </w:r>
      </w:hyperlink>
    </w:p>
    <w:p>
      <w:pPr>
        <w:numPr>
          <w:ilvl w:val="0"/>
          <w:numId w:val="1001"/>
        </w:numPr>
        <w:pStyle w:val="Compact"/>
      </w:pPr>
      <w:hyperlink w:anchor="结论">
        <w:r>
          <w:rPr>
            <w:rStyle w:val="Hyperlink"/>
          </w:rPr>
          <w:t xml:space="preserve">结论</w:t>
        </w:r>
      </w:hyperlink>
    </w:p>
    <w:p>
      <w:pPr>
        <w:numPr>
          <w:ilvl w:val="0"/>
          <w:numId w:val="1001"/>
        </w:numPr>
        <w:pStyle w:val="Compact"/>
      </w:pPr>
      <w:hyperlink w:anchor="参考文献">
        <w:r>
          <w:rPr>
            <w:rStyle w:val="Hyperlink"/>
          </w:rPr>
          <w:t xml:space="preserve">参考文献</w:t>
        </w:r>
      </w:hyperlink>
    </w:p>
    <w:p>
      <w:r>
        <w:pict>
          <v:rect style="width:0;height:1.5pt" o:hralign="center" o:hrstd="t" o:hr="t"/>
        </w:pict>
      </w:r>
    </w:p>
    <w:bookmarkEnd w:id="20"/>
    <w:bookmarkStart w:id="21" w:name="引言"/>
    <w:p>
      <w:pPr>
        <w:pStyle w:val="Heading2"/>
      </w:pPr>
      <w:r>
        <w:t xml:space="preserve">引言</w:t>
      </w:r>
    </w:p>
    <w:p>
      <w:pPr>
        <w:pStyle w:val="FirstParagraph"/>
      </w:pPr>
      <w:r>
        <w:t xml:space="preserve">破产程序的根本目标在于实现债务人财产的公平分配，使各类债权人在有限的破产财产中获得合理的清偿。然而，在债务人进入破产程序之前，其所负担的债务往往性质各异——既有基于合同或侵权而产生的补偿性债权，也有因违法行为或违约行为而附加的惩罚性债权。后者包括但不限于民事惩罚性赔偿金、行政罚款、刑事罚金、超额违约金以及迟延履行金等。当债务人资产不足以清偿全部债务时，这些不同性质的债权之间如何排列清偿顺序，便成为破产法必须回应的核心问题。</w:t>
      </w:r>
    </w:p>
    <w:p>
      <w:pPr>
        <w:pStyle w:val="BodyText"/>
      </w:pPr>
      <w:r>
        <w:t xml:space="preserve">惩罚性债权劣后理论的核心命题是：惩罚性债权因其制裁性目的，在破产程序中的清偿顺位应当劣后于补偿性的普通破产债权。该理论的正当性根基在于：破产程序具有概括清偿的特殊性，若将惩罚性债权与普通补偿性债权同等对待，实质上等于将对债务人的惩罚成本转嫁给了其他无辜的普通债权人，降低了后者的清偿率，从而违背了破产法的公平分配精神。</w:t>
      </w:r>
    </w:p>
    <w:p>
      <w:pPr>
        <w:pStyle w:val="BodyText"/>
      </w:pPr>
      <w:r>
        <w:t xml:space="preserve">从域外经验来看，美国的衡平居次原则（Equitable Subordination Doctrine）源于1939年联邦最高法院审理的</w:t>
      </w:r>
      <w:r>
        <w:t xml:space="preserve"> </w:t>
      </w:r>
      <w:r>
        <w:rPr>
          <w:iCs/>
          <w:i/>
        </w:rPr>
        <w:t xml:space="preserve">Taylor v. Standard Gas &amp; Electric Co.</w:t>
      </w:r>
      <w:r>
        <w:t xml:space="preserve"> </w:t>
      </w:r>
      <w:r>
        <w:t xml:space="preserve">案，已发展为一套相对成熟的司法制度；德国《支付不能法》（InsO）第39条以成文法形式明确列举了劣后债权的类型；日本破产法则构建了优先债权、一般债权、劣后债权和约定劣后债权四级清偿体系。相较之下，我国现行2006年《企业破产法》对此付之阙如，仅在最高人民法院2018年发布的《全国法院破产审判工作会议纪要》中以政策指引的方式确立了”私法债权优先于公法债权、补偿性债权优先于惩罚性债权”的基本原则。</w:t>
      </w:r>
    </w:p>
    <w:p>
      <w:pPr>
        <w:pStyle w:val="BodyText"/>
      </w:pPr>
      <w:r>
        <w:t xml:space="preserve">值得关注的是，2025年9月公布的《企业破产法（修订草案）》第162条首次以立法形式系统列举了劣后债权的类型，标志着我国破产法在债权分层制度上迈出了关键一步。然而，该草案的规定仍有进一步细化的空间，特别是在惩罚性债权的内部分层、劣后债权人的程序性权利保障以及关联债权劣后的认定标准等方面。</w:t>
      </w:r>
    </w:p>
    <w:p>
      <w:pPr>
        <w:pStyle w:val="BodyText"/>
      </w:pPr>
      <w:r>
        <w:t xml:space="preserve">本文拟以惩罚性债权劣后清偿为主线，采用规范分析、比较法研究和案例分析相结合的方法，在阐释理论基础的同时深入考察域外制度经验，并结合我国立法与司法现状，最终提出完善我国惩罚性债权劣后制度的系统性建议。</w:t>
      </w:r>
    </w:p>
    <w:p>
      <w:r>
        <w:pict>
          <v:rect style="width:0;height:1.5pt" o:hralign="center" o:hrstd="t" o:hr="t"/>
        </w:pict>
      </w:r>
    </w:p>
    <w:bookmarkEnd w:id="21"/>
    <w:bookmarkStart w:id="25" w:name="第一章-惩罚性债权劣后清偿的基本范畴"/>
    <w:p>
      <w:pPr>
        <w:pStyle w:val="Heading2"/>
      </w:pPr>
      <w:r>
        <w:t xml:space="preserve">第一章 惩罚性债权劣后清偿的基本范畴</w:t>
      </w:r>
    </w:p>
    <w:bookmarkStart w:id="22" w:name="第一节-惩罚性债权的概念界定"/>
    <w:p>
      <w:pPr>
        <w:pStyle w:val="Heading3"/>
      </w:pPr>
      <w:r>
        <w:t xml:space="preserve">第一节 惩罚性债权的概念界定</w:t>
      </w:r>
    </w:p>
    <w:p>
      <w:pPr>
        <w:pStyle w:val="FirstParagraph"/>
      </w:pPr>
      <w:r>
        <w:t xml:space="preserve">惩罚性债权，是指因法律对特定违法或违约行为施加制裁而产生的，超出实际损害赔偿范围之外的金钱给付请求权。其本质特征在于：债权的产生目的并非填补债权人的实际损失，而是通过经济上的不利后果对违法者或违约者进行惩戒，从而实现威慑和预防的社会功能。</w:t>
      </w:r>
    </w:p>
    <w:p>
      <w:pPr>
        <w:pStyle w:val="BodyText"/>
      </w:pPr>
      <w:r>
        <w:t xml:space="preserve">从实体法规范的角度，惩罚性债权主要包括以下类型：</w:t>
      </w:r>
    </w:p>
    <w:p>
      <w:pPr>
        <w:pStyle w:val="BodyText"/>
      </w:pPr>
      <w:r>
        <w:rPr>
          <w:bCs/>
          <w:b/>
        </w:rPr>
        <w:t xml:space="preserve">第一，民事惩罚性赔偿金。</w:t>
      </w:r>
      <w:r>
        <w:t xml:space="preserve"> </w:t>
      </w:r>
      <w:r>
        <w:t xml:space="preserve">我国《消费者权益保护法》第55条规定的三倍赔偿、《食品安全法》第148条规定的十倍赔偿、《民法典》第1207条规定的产品责任惩罚性赔偿等，均属此类。这些赔偿金中超出实际损失的部分具有明显的惩罚性质。</w:t>
      </w:r>
    </w:p>
    <w:p>
      <w:pPr>
        <w:pStyle w:val="BodyText"/>
      </w:pPr>
      <w:r>
        <w:rPr>
          <w:bCs/>
          <w:b/>
        </w:rPr>
        <w:t xml:space="preserve">第二，行政罚款与滞纳金。</w:t>
      </w:r>
      <w:r>
        <w:t xml:space="preserve"> </w:t>
      </w:r>
      <w:r>
        <w:t xml:space="preserve">行政机关依据行政法律规范对违法行为人作出的罚款决定，以及因逾期缴纳税费等而产生的滞纳金，其本质均为国家对违法行为的行政制裁，具有公法上的惩罚属性。</w:t>
      </w:r>
    </w:p>
    <w:p>
      <w:pPr>
        <w:pStyle w:val="BodyText"/>
      </w:pPr>
      <w:r>
        <w:rPr>
          <w:bCs/>
          <w:b/>
        </w:rPr>
        <w:t xml:space="preserve">第三，刑事罚金。</w:t>
      </w:r>
      <w:r>
        <w:t xml:space="preserve"> </w:t>
      </w:r>
      <w:r>
        <w:t xml:space="preserve">人民法院依据刑事判决对犯罪人判处的罚金刑，是最为严厉的惩罚性金钱给付义务，其制裁目的尤为突出。</w:t>
      </w:r>
    </w:p>
    <w:p>
      <w:pPr>
        <w:pStyle w:val="BodyText"/>
      </w:pPr>
      <w:r>
        <w:rPr>
          <w:bCs/>
          <w:b/>
        </w:rPr>
        <w:t xml:space="preserve">第四，迟延履行加倍利息。</w:t>
      </w:r>
      <w:r>
        <w:t xml:space="preserve"> </w:t>
      </w:r>
      <w:r>
        <w:t xml:space="preserve">依据《民事诉讼法》第264条，被执行人未按判决指定的期间履行给付金钱义务的，应当加倍支付迟延履行期间的债务利息。该加倍部分具有督促债务人履行义务的惩罚性质。</w:t>
      </w:r>
    </w:p>
    <w:p>
      <w:pPr>
        <w:pStyle w:val="BodyText"/>
      </w:pPr>
      <w:r>
        <w:rPr>
          <w:bCs/>
          <w:b/>
        </w:rPr>
        <w:t xml:space="preserve">第五，超额违约金。</w:t>
      </w:r>
      <w:r>
        <w:t xml:space="preserve"> </w:t>
      </w:r>
      <w:r>
        <w:t xml:space="preserve">在合同纠纷中，当约定的违约金明显超过实际损失时，超出部分在性质上兼具惩罚功能。</w:t>
      </w:r>
    </w:p>
    <w:p>
      <w:pPr>
        <w:pStyle w:val="BodyText"/>
      </w:pPr>
      <w:r>
        <w:t xml:space="preserve">上述各类惩罚性债权虽然在实体法基础、产生原因和功能定位上各有不同，但共享一个核心特征：其金额超出了对债权人实际损失的填补范围，带有对债务人施加额外经济负担的惩罚目的。</w:t>
      </w:r>
    </w:p>
    <w:bookmarkEnd w:id="22"/>
    <w:bookmarkStart w:id="23" w:name="第二节-劣后债权的基本内涵"/>
    <w:p>
      <w:pPr>
        <w:pStyle w:val="Heading3"/>
      </w:pPr>
      <w:r>
        <w:t xml:space="preserve">第二节 劣后债权的基本内涵</w:t>
      </w:r>
    </w:p>
    <w:p>
      <w:pPr>
        <w:pStyle w:val="FirstParagraph"/>
      </w:pPr>
      <w:r>
        <w:t xml:space="preserve">劣后债权（Subordinated Claims），是指在破产程序中清偿顺位排在普通破产债权之后的债权。劣后债权的持有人并非丧失受偿资格，而是仅在全部普通破产债权获得足额清偿之后，若仍有剩余破产财产，方可按比例受偿。</w:t>
      </w:r>
    </w:p>
    <w:p>
      <w:pPr>
        <w:pStyle w:val="BodyText"/>
      </w:pPr>
      <w:r>
        <w:t xml:space="preserve">劣后债权概念的产生，反映了破产法对债权平等原则的一种修正。传统的债权平等主义（pari passu 原则）要求同一顺位的债权人按比例平等受偿，但这种形式上的平等可能在特定情形下导致实质不公平。当某些债权因其性质、产生原因或债权人的特殊地位而不宜与普通债权同等受偿时，将其清偿顺位后置便具有了正当性基础。</w:t>
      </w:r>
    </w:p>
    <w:p>
      <w:pPr>
        <w:pStyle w:val="BodyText"/>
      </w:pPr>
      <w:r>
        <w:t xml:space="preserve">根据劣后事由的不同，劣后债权可以分为以下三种基本类型：</w:t>
      </w:r>
    </w:p>
    <w:p>
      <w:pPr>
        <w:pStyle w:val="BodyText"/>
      </w:pPr>
      <w:r>
        <w:rPr>
          <w:bCs/>
          <w:b/>
        </w:rPr>
        <w:t xml:space="preserve">第一，法定劣后债权。</w:t>
      </w:r>
      <w:r>
        <w:t xml:space="preserve"> </w:t>
      </w:r>
      <w:r>
        <w:t xml:space="preserve">即法律直接规定其清偿顺位应劣后于普通债权的债权类型。例如，破产申请受理后产生的利息（因破产程序开始后债权原则上停止计息，但修订草案将其列为劣后债权）、债权人参加破产程序的费用等。</w:t>
      </w:r>
    </w:p>
    <w:p>
      <w:pPr>
        <w:pStyle w:val="BodyText"/>
      </w:pPr>
      <w:r>
        <w:rPr>
          <w:bCs/>
          <w:b/>
        </w:rPr>
        <w:t xml:space="preserve">第二，惩罚性劣后债权。</w:t>
      </w:r>
      <w:r>
        <w:t xml:space="preserve"> </w:t>
      </w:r>
      <w:r>
        <w:t xml:space="preserve">即因债权本身具有惩罚性质而被置于劣后顺位的债权，这正是本文研究的核心对象。民事惩罚性赔偿金、行政罚款、刑事罚金等均属此类。</w:t>
      </w:r>
    </w:p>
    <w:p>
      <w:pPr>
        <w:pStyle w:val="BodyText"/>
      </w:pPr>
      <w:r>
        <w:rPr>
          <w:bCs/>
          <w:b/>
        </w:rPr>
        <w:t xml:space="preserve">第三，约定劣后债权。</w:t>
      </w:r>
      <w:r>
        <w:t xml:space="preserve"> </w:t>
      </w:r>
      <w:r>
        <w:t xml:space="preserve">即债权人与债务人通过合同约定，将特定债权的清偿顺位后置于其他债权之后。在金融实践中最为常见的是次级债券（Subordinated Bonds）和次级贷款。此类劣后安排系基于当事人意思自治，其正当性基础与惩罚性劣后有本质区别。</w:t>
      </w:r>
    </w:p>
    <w:p>
      <w:pPr>
        <w:pStyle w:val="BodyText"/>
      </w:pPr>
      <w:r>
        <w:t xml:space="preserve">此外，在特定情况下还存在</w:t>
      </w:r>
      <w:r>
        <w:rPr>
          <w:bCs/>
          <w:b/>
        </w:rPr>
        <w:t xml:space="preserve">司法认定的劣后债权</w:t>
      </w:r>
      <w:r>
        <w:t xml:space="preserve">，即法院基于个案审查，依据公平原则将特定债权认定为劣后清偿，如关联企业中控制股东滥用控制权形成的债权。</w:t>
      </w:r>
    </w:p>
    <w:bookmarkEnd w:id="23"/>
    <w:bookmarkStart w:id="24" w:name="第三节-惩罚性债权劣后清偿的逻辑前提"/>
    <w:p>
      <w:pPr>
        <w:pStyle w:val="Heading3"/>
      </w:pPr>
      <w:r>
        <w:t xml:space="preserve">第三节 惩罚性债权劣后清偿的逻辑前提</w:t>
      </w:r>
    </w:p>
    <w:p>
      <w:pPr>
        <w:pStyle w:val="FirstParagraph"/>
      </w:pPr>
      <w:r>
        <w:t xml:space="preserve">惩罚性债权的劣后清偿，建立在以下几个逻辑前提之上：</w:t>
      </w:r>
    </w:p>
    <w:p>
      <w:pPr>
        <w:pStyle w:val="BodyText"/>
      </w:pPr>
      <w:r>
        <w:rPr>
          <w:bCs/>
          <w:b/>
        </w:rPr>
        <w:t xml:space="preserve">第一，惩罚性债权属于破产债权。</w:t>
      </w:r>
      <w:r>
        <w:t xml:space="preserve"> </w:t>
      </w:r>
      <w:r>
        <w:t xml:space="preserve">惩罚性债权虽然被劣后清偿，但仍然属于破产债权的范畴，债权人享有申报债权、参加债权人会议等程序性权利。这区别于某些早期司法解释将行政罚款、刑事罚金完全排除在破产债权之外的做法。2002年最高人民法院《关于审理企业破产案件若干问题的规定》第61条曾明确将”罚款、罚金”列为不属于破产债权的项目，但随着理论与实践的发展，将惩罚性债权纳入破产债权但劣后清偿的方案已成为主流共识。</w:t>
      </w:r>
    </w:p>
    <w:p>
      <w:pPr>
        <w:pStyle w:val="BodyText"/>
      </w:pPr>
      <w:r>
        <w:rPr>
          <w:bCs/>
          <w:b/>
        </w:rPr>
        <w:t xml:space="preserve">第二，劣后清偿不等于不予清偿。</w:t>
      </w:r>
      <w:r>
        <w:t xml:space="preserve"> </w:t>
      </w:r>
      <w:r>
        <w:t xml:space="preserve">劣后只是顺位的后置，而非受偿权的剥夺。当破产财产充足、普通债权全额清偿之后仍有剩余时，劣后债权人仍有权参与分配。这体现了破产法对各类利益的兼顾态度。</w:t>
      </w:r>
    </w:p>
    <w:p>
      <w:pPr>
        <w:pStyle w:val="BodyText"/>
      </w:pPr>
      <w:r>
        <w:rPr>
          <w:bCs/>
          <w:b/>
        </w:rPr>
        <w:t xml:space="preserve">第三，惩罚目的与填补损失目的之间存在可分性。</w:t>
      </w:r>
      <w:r>
        <w:t xml:space="preserve"> </w:t>
      </w:r>
      <w:r>
        <w:t xml:space="preserve">部分惩罚性债权中实际包含了补偿性成分。例如，惩罚性赔偿金中往往包含一个基础的补偿性数额。对于这种混合性质的债权，是否应当全额劣后清偿，还是仅将超出补偿部分劣后而补偿部分正常清偿，构成了制度设计中的关键问题。</w:t>
      </w:r>
    </w:p>
    <w:p>
      <w:r>
        <w:pict>
          <v:rect style="width:0;height:1.5pt" o:hralign="center" o:hrstd="t" o:hr="t"/>
        </w:pict>
      </w:r>
    </w:p>
    <w:bookmarkEnd w:id="24"/>
    <w:bookmarkEnd w:id="25"/>
    <w:bookmarkStart w:id="30" w:name="第二章-惩罚性债权劣后清偿的理论基础"/>
    <w:p>
      <w:pPr>
        <w:pStyle w:val="Heading2"/>
      </w:pPr>
      <w:r>
        <w:t xml:space="preserve">第二章 惩罚性债权劣后清偿的理论基础</w:t>
      </w:r>
    </w:p>
    <w:bookmarkStart w:id="26" w:name="第一节-公平受偿原则"/>
    <w:p>
      <w:pPr>
        <w:pStyle w:val="Heading3"/>
      </w:pPr>
      <w:r>
        <w:t xml:space="preserve">第一节 公平受偿原则</w:t>
      </w:r>
    </w:p>
    <w:p>
      <w:pPr>
        <w:pStyle w:val="FirstParagraph"/>
      </w:pPr>
      <w:r>
        <w:t xml:space="preserve">公平受偿原则是破产法最根本的价值取向。在债务人资不抵债的背景下，有限的破产财产需要在众多债权人之间进行合理分配。所谓”公平”，不是简单的形式平等，而是根据债权的不同性质进行实质上的区别对待。</w:t>
      </w:r>
    </w:p>
    <w:p>
      <w:pPr>
        <w:pStyle w:val="BodyText"/>
      </w:pPr>
      <w:r>
        <w:t xml:space="preserve">惩罚性债权若与普通补偿性债权在同一顺位受偿，将产生明显的不公平后果。试以一例说明：假设债务人破产财产为1000万元，普通补偿性债权总额为2000万元，另有行政罚款500万元。若将两类债权同等对待，则普通债权人的清偿率为40%（1000÷2500）；若将行政罚款劣后清偿，则普通债权人的清偿率为50%（1000÷2000）。在前一种方案中，本应用于填补普通债权人实际损失的破产财产，被用于满足对债务人的行政处罚目的，实质上是让无辜的普通债权人承担了债务人违法行为的惩罚成本。</w:t>
      </w:r>
    </w:p>
    <w:p>
      <w:pPr>
        <w:pStyle w:val="BodyText"/>
      </w:pPr>
      <w:r>
        <w:t xml:space="preserve">这种”惩罚成本转嫁”与公平受偿原则直接冲突。破产财产首先应当服务于填补债权人的实际损失，而非成为实现公法惩罚目的的工具。在债务人已经进入破产程序、资产严重不足的情况下，惩罚性债权的实现已经不可能达到其预设的威慑效果，继续与补偿性债权争夺有限的破产财产，既无法真正实现惩罚目的，又损害了普通债权人的正当利益。</w:t>
      </w:r>
    </w:p>
    <w:bookmarkEnd w:id="26"/>
    <w:bookmarkStart w:id="27" w:name="第二节-补偿性优先于惩罚性的价值位阶"/>
    <w:p>
      <w:pPr>
        <w:pStyle w:val="Heading3"/>
      </w:pPr>
      <w:r>
        <w:t xml:space="preserve">第二节 补偿性优先于惩罚性的价值位阶</w:t>
      </w:r>
    </w:p>
    <w:p>
      <w:pPr>
        <w:pStyle w:val="FirstParagraph"/>
      </w:pPr>
      <w:r>
        <w:t xml:space="preserve">从法律功能的角度分析，补偿功能与惩罚功能之间存在内在的价值位阶关系。补偿性债权直接关系到债权人合法权益的实现，是市场经济交易安全和信赖保护的基础；而惩罚性债权的核心功能在于威慑和预防，其对于特定债权人的经济意义相对间接。</w:t>
      </w:r>
    </w:p>
    <w:p>
      <w:pPr>
        <w:pStyle w:val="BodyText"/>
      </w:pPr>
      <w:r>
        <w:t xml:space="preserve">在非破产状态下，惩罚性债权与补偿性债权可以并行不悖地实现各自的功能。但在破产程序这一特殊的概括清偿场景中，两类功能发生了不可避免的冲突。此时，法律必须作出价值选择。从以下几个层面来看，补偿性功能应当优先于惩罚性功能：</w:t>
      </w:r>
    </w:p>
    <w:p>
      <w:pPr>
        <w:pStyle w:val="BodyText"/>
      </w:pPr>
      <w:r>
        <w:rPr>
          <w:bCs/>
          <w:b/>
        </w:rPr>
        <w:t xml:space="preserve">其一，从权利的基础性而言。</w:t>
      </w:r>
      <w:r>
        <w:t xml:space="preserve"> </w:t>
      </w:r>
      <w:r>
        <w:t xml:space="preserve">补偿性债权通常基于合同的对价关系或侵权行为的损害后果，是民事法律关系中最基本的请求权。债权人为获得补偿性债权，往往付出了真实的对价或遭受了真实的损害。相比之下，惩罚性债权的产生不以债权人的实际损失为限，其超出部分不存在对价基础。</w:t>
      </w:r>
    </w:p>
    <w:p>
      <w:pPr>
        <w:pStyle w:val="BodyText"/>
      </w:pPr>
      <w:r>
        <w:rPr>
          <w:bCs/>
          <w:b/>
        </w:rPr>
        <w:t xml:space="preserve">其二，从社会效果而言。</w:t>
      </w:r>
      <w:r>
        <w:t xml:space="preserve"> </w:t>
      </w:r>
      <w:r>
        <w:t xml:space="preserve">在债务人已经破产的情况下，惩罚性债权所追求的威慑功能已经大幅衰减——债务人本身已经面临企业消亡或重整等严重后果，额外的金钱惩罚难以产生进一步的威慑效果。而补偿性债权的实现直接关系到债权人（可能包括供应商、员工、消费者等）的生产生活，具有更为紧迫的现实意义。</w:t>
      </w:r>
    </w:p>
    <w:p>
      <w:pPr>
        <w:pStyle w:val="BodyText"/>
      </w:pPr>
      <w:r>
        <w:rPr>
          <w:bCs/>
          <w:b/>
        </w:rPr>
        <w:t xml:space="preserve">其三，从制度逻辑的一致性而言。</w:t>
      </w:r>
      <w:r>
        <w:t xml:space="preserve"> </w:t>
      </w:r>
      <w:r>
        <w:t xml:space="preserve">破产法普遍承认职工债权、税收债权等优先清偿，其逻辑基础正在于这些债权关涉到债权人的基本生存利益和社会公共利益。同理，惩罚性债权因缺乏这种紧迫的保护必要性，被置于劣后顺位符合同一逻辑脉络。</w:t>
      </w:r>
    </w:p>
    <w:bookmarkEnd w:id="27"/>
    <w:bookmarkStart w:id="28" w:name="第三节-破产法的社会本位属性"/>
    <w:p>
      <w:pPr>
        <w:pStyle w:val="Heading3"/>
      </w:pPr>
      <w:r>
        <w:t xml:space="preserve">第三节 破产法的社会本位属性</w:t>
      </w:r>
    </w:p>
    <w:p>
      <w:pPr>
        <w:pStyle w:val="FirstParagraph"/>
      </w:pPr>
      <w:r>
        <w:t xml:space="preserve">现代破产法已从早期的”债权人本位”发展为”社会本位”——破产程序不仅要保障债权人的受偿利益，还要兼顾债务人的合理权益、职工的生存权益以及社会经济秩序的稳定。</w:t>
      </w:r>
    </w:p>
    <w:p>
      <w:pPr>
        <w:pStyle w:val="BodyText"/>
      </w:pPr>
      <w:r>
        <w:t xml:space="preserve">在这一价值框架下，破产财产被视为一种稀缺的社会资源，其分配不仅涉及私人利益的调整，还关系到社会整体福利的最大化。将惩罚性债权劣后清偿，可以让更多的破产财产流向对社会经济影响最直接的补偿性债权人，有助于：（1）保护交易秩序的安全性，维护商业信用体系；（2）保障关联企业、供应商等利益相关方的基本权益；（3）减少因普通债权人受偿率过低而引发的社会矛盾和不稳定因素。</w:t>
      </w:r>
    </w:p>
    <w:p>
      <w:pPr>
        <w:pStyle w:val="BodyText"/>
      </w:pPr>
      <w:r>
        <w:t xml:space="preserve">从社会本位的视角看，惩罚性债权的劣后清偿是破产法公共政策功能的体现——它以牺牲惩罚性债权的优先性为代价，换取破产财产分配的社会最优效果。</w:t>
      </w:r>
    </w:p>
    <w:bookmarkEnd w:id="28"/>
    <w:bookmarkStart w:id="29" w:name="第四节-破产程序的概括清偿机理"/>
    <w:p>
      <w:pPr>
        <w:pStyle w:val="Heading3"/>
      </w:pPr>
      <w:r>
        <w:t xml:space="preserve">第四节 破产程序的概括清偿机理</w:t>
      </w:r>
    </w:p>
    <w:p>
      <w:pPr>
        <w:pStyle w:val="FirstParagraph"/>
      </w:pPr>
      <w:r>
        <w:t xml:space="preserve">破产程序不同于单个的民事执行程序。在个别执行中，各债权人按照”先到先得”的原则独立实现其债权，不同债权之间的清偿顺位通常取决于查封、扣押等保全措施的时间先后。而破产程序采取概括清偿的方式，将债务人的全部财产统一集中，按照法定顺序向全体债权人分配。</w:t>
      </w:r>
    </w:p>
    <w:p>
      <w:pPr>
        <w:pStyle w:val="BodyText"/>
      </w:pPr>
      <w:r>
        <w:t xml:space="preserve">概括清偿机理要求破产法对各类债权的清偿顺位作出统一安排。在这一过程中，实体法上原本平等的不同债权，可能因破产程序的特殊性而被赋予不同的清偿地位。惩罚性债权在实体法上可能与补偿性债权处于同等地位（例如，判决确认的惩罚性赔偿金与补偿性赔偿金在个别执行中均可获得同等执行），但进入破产程序后，基于公平分配的理念，需要重新排定其清偿顺位。</w:t>
      </w:r>
    </w:p>
    <w:p>
      <w:pPr>
        <w:pStyle w:val="BodyText"/>
      </w:pPr>
      <w:r>
        <w:t xml:space="preserve">正如学者所言，</w:t>
      </w:r>
      <w:r>
        <w:t xml:space="preserve">“</w:t>
      </w:r>
      <w:r>
        <w:t xml:space="preserve">破产法原则上不创设新的权利，但基于破产程序的特殊性，可以对既有实体法规范进行程序性调整</w:t>
      </w:r>
      <w:r>
        <w:t xml:space="preserve">”</w:t>
      </w:r>
      <w:r>
        <w:t xml:space="preserve">。惩罚性债权的劣后清偿正是这种程序性调整的典型体现——并非否定惩罚性债权的效力或存在，而是在特定程序场景下对其清偿顺位进行调整。</w:t>
      </w:r>
    </w:p>
    <w:p>
      <w:r>
        <w:pict>
          <v:rect style="width:0;height:1.5pt" o:hralign="center" o:hrstd="t" o:hr="t"/>
        </w:pict>
      </w:r>
    </w:p>
    <w:bookmarkEnd w:id="29"/>
    <w:bookmarkEnd w:id="30"/>
    <w:bookmarkStart w:id="49" w:name="第三章-惩罚性债权劣后制度的比较法考察"/>
    <w:p>
      <w:pPr>
        <w:pStyle w:val="Heading2"/>
      </w:pPr>
      <w:r>
        <w:t xml:space="preserve">第三章 惩罚性债权劣后制度的比较法考察</w:t>
      </w:r>
    </w:p>
    <w:bookmarkStart w:id="35" w:name="第一节-美国衡平居次原则与深石原则"/>
    <w:p>
      <w:pPr>
        <w:pStyle w:val="Heading3"/>
      </w:pPr>
      <w:r>
        <w:t xml:space="preserve">第一节 美国：衡平居次原则与深石原则</w:t>
      </w:r>
    </w:p>
    <w:bookmarkStart w:id="31" w:name="一制度渊源"/>
    <w:p>
      <w:pPr>
        <w:pStyle w:val="Heading4"/>
      </w:pPr>
      <w:r>
        <w:t xml:space="preserve">一、制度渊源</w:t>
      </w:r>
    </w:p>
    <w:p>
      <w:pPr>
        <w:pStyle w:val="FirstParagraph"/>
      </w:pPr>
      <w:r>
        <w:t xml:space="preserve">美国破产法中的衡平居次原则（Equitable Subordination Doctrine），又称深石原则（Deep Rock Doctrine），是当代各国破产债权劣后制度中最具影响力的理论来源之一。该原则肇始于1939年美国联邦最高法院审理的</w:t>
      </w:r>
      <w:r>
        <w:t xml:space="preserve"> </w:t>
      </w:r>
      <w:r>
        <w:rPr>
          <w:iCs/>
          <w:i/>
        </w:rPr>
        <w:t xml:space="preserve">Taylor v. Standard Gas &amp; Electric Co.</w:t>
      </w:r>
      <w:r>
        <w:t xml:space="preserve"> </w:t>
      </w:r>
      <w:r>
        <w:t xml:space="preserve">案（又称”深石案”）。</w:t>
      </w:r>
    </w:p>
    <w:p>
      <w:pPr>
        <w:pStyle w:val="BodyText"/>
      </w:pPr>
      <w:r>
        <w:t xml:space="preserve">在该案中，Standard Gas &amp; Electric Company 作为母公司持有其子公司 Deep Rock Oil Corporation 的控制权。母公司通过资本不足、不公平的关联交易等方式，将大量资金以借贷形式注入子公司，形成了对子公司的巨额债权。当子公司进入破产程序后，母公司主张以债权人身份与其他外部债权人平等受偿。联邦最高法院认为，母公司作为控制股东，利用其优势地位通过不公平行为形成债权，若允许其与外部债权人平等受偿将严重损害后者的利益，因此依据衡平法原则将母公司的债权劣后于外部债权人清偿。</w:t>
      </w:r>
    </w:p>
    <w:p>
      <w:pPr>
        <w:pStyle w:val="BodyText"/>
      </w:pPr>
      <w:r>
        <w:t xml:space="preserve">此后，1940年的</w:t>
      </w:r>
      <w:r>
        <w:t xml:space="preserve"> </w:t>
      </w:r>
      <w:r>
        <w:rPr>
          <w:iCs/>
          <w:i/>
        </w:rPr>
        <w:t xml:space="preserve">Pepper v. Litton</w:t>
      </w:r>
      <w:r>
        <w:t xml:space="preserve"> </w:t>
      </w:r>
      <w:r>
        <w:t xml:space="preserve">案进一步发展了这一原则。联邦最高法院明确指出：</w:t>
      </w:r>
      <w:r>
        <w:t xml:space="preserve">“</w:t>
      </w:r>
      <w:r>
        <w:t xml:space="preserve">破产法院作为衡平法院，有权审查债权的公正性，并在适当情况下将不公正的债权劣后于其他债权。</w:t>
      </w:r>
      <w:r>
        <w:t xml:space="preserve">”</w:t>
      </w:r>
    </w:p>
    <w:bookmarkEnd w:id="31"/>
    <w:bookmarkStart w:id="32" w:name="二法律成文化"/>
    <w:p>
      <w:pPr>
        <w:pStyle w:val="Heading4"/>
      </w:pPr>
      <w:r>
        <w:t xml:space="preserve">二、法律成文化</w:t>
      </w:r>
    </w:p>
    <w:p>
      <w:pPr>
        <w:pStyle w:val="FirstParagraph"/>
      </w:pPr>
      <w:r>
        <w:t xml:space="preserve">1978年《破产改革法》（Bankruptcy Reform Act of 1978）将衡平居次原则纳入成文法。现行《美国法典》第11编（破产法）第510条(c)款规定：</w:t>
      </w:r>
    </w:p>
    <w:p>
      <w:pPr>
        <w:pStyle w:val="BlockText"/>
      </w:pPr>
      <w:r>
        <w:t xml:space="preserve">“</w:t>
      </w:r>
      <w:r>
        <w:t xml:space="preserve">在适用衡平居次原则的基础上，法院可以——</w:t>
      </w:r>
      <w:r>
        <w:t xml:space="preserve"> </w:t>
      </w:r>
      <w:r>
        <w:t xml:space="preserve">(1) 根据当事人的请求，经过通知和听证程序后，将某一特定债权人或利害关系人的全部或部分允许的债权或利益，劣后于另一债权人或利害关系人的全部或部分允许的债权或利益；</w:t>
      </w:r>
      <w:r>
        <w:t xml:space="preserve"> </w:t>
      </w:r>
      <w:r>
        <w:t xml:space="preserve">(2) 命令将因该劣后而发生的任何利益转让按照破产法的规定作为可撤销转让予以处理。</w:t>
      </w:r>
      <w:r>
        <w:t xml:space="preserve">”</w:t>
      </w:r>
    </w:p>
    <w:p>
      <w:pPr>
        <w:pStyle w:val="FirstParagraph"/>
      </w:pPr>
      <w:r>
        <w:t xml:space="preserve">该条款的特点在于：它仅赋予了法院适用衡平居次原则的权力框架，而将具体的适用标准完全交由判例法发展。</w:t>
      </w:r>
    </w:p>
    <w:bookmarkEnd w:id="32"/>
    <w:bookmarkStart w:id="33" w:name="三适用要件"/>
    <w:p>
      <w:pPr>
        <w:pStyle w:val="Heading4"/>
      </w:pPr>
      <w:r>
        <w:t xml:space="preserve">三、适用要件</w:t>
      </w:r>
    </w:p>
    <w:p>
      <w:pPr>
        <w:pStyle w:val="FirstParagraph"/>
      </w:pPr>
      <w:r>
        <w:t xml:space="preserve">经过数十年的判例积累，美国法院在适用衡平居次原则时通常审查以下三个要件（所谓”三要件测试”，Three-Prong Test）：</w:t>
      </w:r>
    </w:p>
    <w:p>
      <w:pPr>
        <w:pStyle w:val="BodyText"/>
      </w:pPr>
      <w:r>
        <w:rPr>
          <w:bCs/>
          <w:b/>
        </w:rPr>
        <w:t xml:space="preserve">第一，存在不公平行为（Inequitable Conduct）。</w:t>
      </w:r>
      <w:r>
        <w:t xml:space="preserve"> </w:t>
      </w:r>
      <w:r>
        <w:t xml:space="preserve">请求劣后的一方需证明被劣后的债权人实施了不公平行为。这种行为主要包括：（1）欺诈、违反信义义务；（2）债务人资本严重不足（inadequate capitalization）；（3）滥用控制权，损害其他债权人利益；（4）资产混同、财务不分。</w:t>
      </w:r>
    </w:p>
    <w:p>
      <w:pPr>
        <w:pStyle w:val="BodyText"/>
      </w:pPr>
      <w:r>
        <w:rPr>
          <w:bCs/>
          <w:b/>
        </w:rPr>
        <w:t xml:space="preserve">第二，造成损害（Injury）。</w:t>
      </w:r>
      <w:r>
        <w:t xml:space="preserve"> </w:t>
      </w:r>
      <w:r>
        <w:t xml:space="preserve">不公平行为导致了其他债权人或破产财团利益受到损害，或者使行为人获得了不公平的受偿优势。</w:t>
      </w:r>
    </w:p>
    <w:p>
      <w:pPr>
        <w:pStyle w:val="BodyText"/>
      </w:pPr>
      <w:r>
        <w:rPr>
          <w:bCs/>
          <w:b/>
        </w:rPr>
        <w:t xml:space="preserve">第三，劣后符合衡平原则（Equitable Considerations）。</w:t>
      </w:r>
      <w:r>
        <w:t xml:space="preserve"> </w:t>
      </w:r>
      <w:r>
        <w:t xml:space="preserve">劣后处理不违反破产法的基本原则，且是矫正不公平行为的适当方式。</w:t>
      </w:r>
    </w:p>
    <w:p>
      <w:pPr>
        <w:pStyle w:val="BodyText"/>
      </w:pPr>
      <w:r>
        <w:t xml:space="preserve">值得注意的是，美国的衡平居次原则主要针对的是</w:t>
      </w:r>
      <w:r>
        <w:rPr>
          <w:bCs/>
          <w:b/>
        </w:rPr>
        <w:t xml:space="preserve">内部人</w:t>
      </w:r>
      <w:r>
        <w:t xml:space="preserve">（Insiders，如控制股东、董事等）利用优势地位形成的不公平债权，而非本文所讨论的纯粹因惩罚性质而劣后的债权。然而，该原则所体现的”在破产程序中基于公平理念调整债权清偿顺位”的思想，为惩罚性债权的劣后清偿提供了重要的方法论启示。</w:t>
      </w:r>
    </w:p>
    <w:bookmarkEnd w:id="33"/>
    <w:bookmarkStart w:id="34" w:name="四对惩罚性债权的处理"/>
    <w:p>
      <w:pPr>
        <w:pStyle w:val="Heading4"/>
      </w:pPr>
      <w:r>
        <w:t xml:space="preserve">四、对惩罚性债权的处理</w:t>
      </w:r>
    </w:p>
    <w:p>
      <w:pPr>
        <w:pStyle w:val="FirstParagraph"/>
      </w:pPr>
      <w:r>
        <w:t xml:space="preserve">美国破产法对惩罚性债权的处理具有独特性。在联邦破产法层面，行政罚款和刑事罚金被明确列为第七优先级的无担保债权（§507(a)(7)），但该优先仅限于对政府罚款的有限保护。在实践中，法院对于惩罚性赔偿金（punitive damages）是否可以在破产程序中清偿，需要根据个案的具体情况进行审查。</w:t>
      </w:r>
    </w:p>
    <w:bookmarkEnd w:id="34"/>
    <w:bookmarkEnd w:id="35"/>
    <w:bookmarkStart w:id="40" w:name="第二节-德国支付不能法劣后债权制度"/>
    <w:p>
      <w:pPr>
        <w:pStyle w:val="Heading3"/>
      </w:pPr>
      <w:r>
        <w:t xml:space="preserve">第二节 德国：《支付不能法》劣后债权制度</w:t>
      </w:r>
    </w:p>
    <w:bookmarkStart w:id="36" w:name="一制度框架"/>
    <w:p>
      <w:pPr>
        <w:pStyle w:val="Heading4"/>
      </w:pPr>
      <w:r>
        <w:t xml:space="preserve">一、制度框架</w:t>
      </w:r>
    </w:p>
    <w:p>
      <w:pPr>
        <w:pStyle w:val="FirstParagraph"/>
      </w:pPr>
      <w:r>
        <w:t xml:space="preserve">德国现行《支付不能法》（Insolvenzordnung, InsO）于1999年1月1日生效，取代了此前分别适用于前西德和前东德的两套破产立法。在债权清偿顺位方面，InsO 建立了一个清晰的层级体系，明确区分了破产费用、共益债务、普通破产债权和劣后破产债权。</w:t>
      </w:r>
    </w:p>
    <w:p>
      <w:pPr>
        <w:pStyle w:val="BodyText"/>
      </w:pPr>
      <w:r>
        <w:t xml:space="preserve">InsO 第38条规定了普通破产债权人（Insolvenzgläubiger）的基本地位：在支付不能程序开始时对债务人享有以财产为基础的请求权的债权人，均为破产债权人。第39条随即规定了劣后债权人（nachrangige Insolvenzgläubiger）的清偿地位。</w:t>
      </w:r>
    </w:p>
    <w:bookmarkEnd w:id="36"/>
    <w:bookmarkStart w:id="37" w:name="二劣后债权的类型"/>
    <w:p>
      <w:pPr>
        <w:pStyle w:val="Heading4"/>
      </w:pPr>
      <w:r>
        <w:t xml:space="preserve">二、劣后债权的类型</w:t>
      </w:r>
    </w:p>
    <w:p>
      <w:pPr>
        <w:pStyle w:val="FirstParagraph"/>
      </w:pPr>
      <w:r>
        <w:t xml:space="preserve">InsO 第39条第1款以列举方式明确了五类劣后债权：</w:t>
      </w:r>
    </w:p>
    <w:p>
      <w:pPr>
        <w:pStyle w:val="BodyText"/>
      </w:pPr>
      <w:r>
        <w:rPr>
          <w:bCs/>
          <w:b/>
        </w:rPr>
        <w:t xml:space="preserve">（一）自程序开始后产生的利息及迟延利息。</w:t>
      </w:r>
      <w:r>
        <w:t xml:space="preserve"> </w:t>
      </w:r>
      <w:r>
        <w:t xml:space="preserve">破产程序开始后，债权上继续发生的利息不再作为普通债权，而是被置于劣后顺位。这一规定体现了破产程序开始即意味着债权”冻结”的理念。</w:t>
      </w:r>
    </w:p>
    <w:p>
      <w:pPr>
        <w:pStyle w:val="BodyText"/>
      </w:pPr>
      <w:r>
        <w:rPr>
          <w:bCs/>
          <w:b/>
        </w:rPr>
        <w:t xml:space="preserve">（二）债权人因参加破产程序而支出的费用。</w:t>
      </w:r>
      <w:r>
        <w:t xml:space="preserve"> </w:t>
      </w:r>
      <w:r>
        <w:t xml:space="preserve">债权人为申报和追索债权而产生的律师费、差旅费等程序费用，不应与基础债权同等受偿。</w:t>
      </w:r>
    </w:p>
    <w:p>
      <w:pPr>
        <w:pStyle w:val="BodyText"/>
      </w:pPr>
      <w:r>
        <w:rPr>
          <w:bCs/>
          <w:b/>
        </w:rPr>
        <w:t xml:space="preserve">（三）罚金及行政罚款。</w:t>
      </w:r>
      <w:r>
        <w:t xml:space="preserve"> </w:t>
      </w:r>
      <w:r>
        <w:t xml:space="preserve">这是与本文研究主题最直接相关的类型。InsO 明确将刑事罚金（Geldstrafen）、行政罚款（Geldbußen）、秩序罚（Ordnungsgelder）以及强制罚（Zwangsgelder）列为劣后债权。这一规定的立法理由是：惩罚性给付义务不应与补偿性债权争夺破产财产，否则实质上是由其他债权人承担了对债务人的惩罚。</w:t>
      </w:r>
    </w:p>
    <w:p>
      <w:pPr>
        <w:pStyle w:val="BodyText"/>
      </w:pPr>
      <w:r>
        <w:rPr>
          <w:bCs/>
          <w:b/>
        </w:rPr>
        <w:t xml:space="preserve">（四）因无偿给付而产生的债权。</w:t>
      </w:r>
      <w:r>
        <w:t xml:space="preserve"> </w:t>
      </w:r>
      <w:r>
        <w:t xml:space="preserve">债务人以无偿方式承诺的给付，若在破产程序中与有偿债权同等受偿，将损害有偿债权人的利益。</w:t>
      </w:r>
    </w:p>
    <w:p>
      <w:pPr>
        <w:pStyle w:val="BodyText"/>
      </w:pPr>
      <w:r>
        <w:rPr>
          <w:bCs/>
          <w:b/>
        </w:rPr>
        <w:t xml:space="preserve">（五）股东贷款的劣后清偿。</w:t>
      </w:r>
      <w:r>
        <w:t xml:space="preserve"> </w:t>
      </w:r>
      <w:r>
        <w:t xml:space="preserve">2008年德国通过《有限责任公司法现代化和反滥用法》（MoMiG），将InsO 第39条第1款新增了第5项，规定股东向公司提供的贷款一律劣后清偿，不再以”代替资本”（eigenkapitalersetzend）为要件。这一改革大幅简化了股东贷款劣后的判断标准——只要是股东提供的贷款，原则上即应劣后清偿，无需像此前那样逐案审查是否构成”代替自有资本”。</w:t>
      </w:r>
    </w:p>
    <w:bookmarkEnd w:id="37"/>
    <w:bookmarkStart w:id="38" w:name="三制度特色"/>
    <w:p>
      <w:pPr>
        <w:pStyle w:val="Heading4"/>
      </w:pPr>
      <w:r>
        <w:t xml:space="preserve">三、制度特色</w:t>
      </w:r>
    </w:p>
    <w:p>
      <w:pPr>
        <w:pStyle w:val="FirstParagraph"/>
      </w:pPr>
      <w:r>
        <w:t xml:space="preserve">德国劣后债权制度的显著特色在于其</w:t>
      </w:r>
      <w:r>
        <w:rPr>
          <w:bCs/>
          <w:b/>
        </w:rPr>
        <w:t xml:space="preserve">法定主义</w:t>
      </w:r>
      <w:r>
        <w:t xml:space="preserve">立场——劣后事由和劣后类型由法律事先明确规定，法院的自由裁量空间相对有限。这与美国衡平居次原则赋予法官广泛裁量权的做法形成鲜明对比。</w:t>
      </w:r>
    </w:p>
    <w:p>
      <w:pPr>
        <w:pStyle w:val="BodyText"/>
      </w:pPr>
      <w:r>
        <w:t xml:space="preserve">此外，德国法还明确区分了劣后债权内部的清偿顺序。InsO 第39条第2款规定，劣后债权之间依照第1款各项的排列顺序依次受偿。这意味着，即使在劣后债权群体内部，也存在”更劣后”的层级区分。</w:t>
      </w:r>
    </w:p>
    <w:bookmarkEnd w:id="38"/>
    <w:bookmarkStart w:id="39" w:name="四程序性安排"/>
    <w:p>
      <w:pPr>
        <w:pStyle w:val="Heading4"/>
      </w:pPr>
      <w:r>
        <w:t xml:space="preserve">四、程序性安排</w:t>
      </w:r>
    </w:p>
    <w:p>
      <w:pPr>
        <w:pStyle w:val="FirstParagraph"/>
      </w:pPr>
      <w:r>
        <w:t xml:space="preserve">InsO 第174条第3款对劣后债权的申报作出了特殊安排：劣后债权人无需主动申报债权，而是由破产管理人在预估破产财产可能有剩余时，另行通知劣后债权人申报。这一规定的实际效果是：在绝大多数破产案件中，由于破产财产不足以全额清偿普通债权，劣后债权人根本不会被通知申报，更不可能获得分配。</w:t>
      </w:r>
    </w:p>
    <w:bookmarkEnd w:id="39"/>
    <w:bookmarkEnd w:id="40"/>
    <w:bookmarkStart w:id="44" w:name="第三节-日本破产债权的层级化体系"/>
    <w:p>
      <w:pPr>
        <w:pStyle w:val="Heading3"/>
      </w:pPr>
      <w:r>
        <w:t xml:space="preserve">第三节 日本：破产债权的层级化体系</w:t>
      </w:r>
    </w:p>
    <w:bookmarkStart w:id="41" w:name="一破产债权的四级体系"/>
    <w:p>
      <w:pPr>
        <w:pStyle w:val="Heading4"/>
      </w:pPr>
      <w:r>
        <w:t xml:space="preserve">一、破产债权的四级体系</w:t>
      </w:r>
    </w:p>
    <w:p>
      <w:pPr>
        <w:pStyle w:val="FirstParagraph"/>
      </w:pPr>
      <w:r>
        <w:t xml:space="preserve">日本2004年修订的《破产法》（2005年1月1日施行）建立了较为精细的债权层级体系，将破产程序中的债权分为四个清偿等级：</w:t>
      </w:r>
    </w:p>
    <w:p>
      <w:pPr>
        <w:pStyle w:val="BodyText"/>
      </w:pPr>
      <w:r>
        <w:rPr>
          <w:bCs/>
          <w:b/>
        </w:rPr>
        <w:t xml:space="preserve">第一层级：优先破产债权。</w:t>
      </w:r>
      <w:r>
        <w:t xml:space="preserve"> </w:t>
      </w:r>
      <w:r>
        <w:t xml:space="preserve">包括具有一般先取特权的债权，如劳动债权、税收债权等。</w:t>
      </w:r>
    </w:p>
    <w:p>
      <w:pPr>
        <w:pStyle w:val="BodyText"/>
      </w:pPr>
      <w:r>
        <w:rPr>
          <w:bCs/>
          <w:b/>
        </w:rPr>
        <w:t xml:space="preserve">第二层级：一般破产债权。</w:t>
      </w:r>
      <w:r>
        <w:t xml:space="preserve"> </w:t>
      </w:r>
      <w:r>
        <w:t xml:space="preserve">即普通的无担保债权，按照债权金额比例平等受偿。</w:t>
      </w:r>
    </w:p>
    <w:p>
      <w:pPr>
        <w:pStyle w:val="BodyText"/>
      </w:pPr>
      <w:r>
        <w:rPr>
          <w:bCs/>
          <w:b/>
        </w:rPr>
        <w:t xml:space="preserve">第三层级：劣后破产债权。</w:t>
      </w:r>
      <w:r>
        <w:t xml:space="preserve"> </w:t>
      </w:r>
      <w:r>
        <w:t xml:space="preserve">破产法明确列举的应当劣后清偿的债权，包括：（1）破产手续开始后的利息；（2）破产手续开始后的不履行损害赔偿金及违约金；（3）破产手续费用的请求权；（4）罚金、科料、追征金、过料及延滞税等。</w:t>
      </w:r>
    </w:p>
    <w:p>
      <w:pPr>
        <w:pStyle w:val="BodyText"/>
      </w:pPr>
      <w:r>
        <w:rPr>
          <w:bCs/>
          <w:b/>
        </w:rPr>
        <w:t xml:space="preserve">第四层级：约定劣后破产债权。</w:t>
      </w:r>
      <w:r>
        <w:t xml:space="preserve"> </w:t>
      </w:r>
      <w:r>
        <w:t xml:space="preserve">债权人与债务人约定在破产程序中劣后于其他全部债权清偿的债权。</w:t>
      </w:r>
    </w:p>
    <w:bookmarkEnd w:id="41"/>
    <w:bookmarkStart w:id="42" w:name="二惩罚性债权的处理"/>
    <w:p>
      <w:pPr>
        <w:pStyle w:val="Heading4"/>
      </w:pPr>
      <w:r>
        <w:t xml:space="preserve">二、惩罚性债权的处理</w:t>
      </w:r>
    </w:p>
    <w:p>
      <w:pPr>
        <w:pStyle w:val="FirstParagraph"/>
      </w:pPr>
      <w:r>
        <w:t xml:space="preserve">日本破产法将罚金、科料（轻微罚金）、追征金、过料（行政秩序罚）以及延滞税（税收滞纳金）等明确列为第三层级的劣后破产债权。这些债权具有共同特征：均属于国家对违法行为的制裁性给付，其目的在于惩戒而非填补损失。</w:t>
      </w:r>
    </w:p>
    <w:p>
      <w:pPr>
        <w:pStyle w:val="BodyText"/>
      </w:pPr>
      <w:r>
        <w:t xml:space="preserve">值得注意的是，日本法将这些惩罚性给付与破产程序开始后的利息并列为同一层级的劣后债权，而不再对惩罚性债权内部作进一步的顺位区分。这种处理方式简洁明快，但也因此引发了是否过于粗放的讨论——例如，行政秩序罚（过料）与刑事罚金在性质上存在显著差异，是否应当统一适用同一清偿顺位，学界存在不同看法。</w:t>
      </w:r>
    </w:p>
    <w:bookmarkEnd w:id="42"/>
    <w:bookmarkStart w:id="43" w:name="三约定劣后债权的独立地位"/>
    <w:p>
      <w:pPr>
        <w:pStyle w:val="Heading4"/>
      </w:pPr>
      <w:r>
        <w:t xml:space="preserve">三、约定劣后债权的独立地位</w:t>
      </w:r>
    </w:p>
    <w:p>
      <w:pPr>
        <w:pStyle w:val="FirstParagraph"/>
      </w:pPr>
      <w:r>
        <w:t xml:space="preserve">日本破产法的一个独特之处在于，将约定劣后债权单列为最末顺位（第四层级），排在法定劣后债权之后。这意味着，当事人通过合同约定的劣后清偿，在效力上甚至弱于法律直接规定的惩罚性劣后债权。其立法考量在于：约定劣后债权是债权人基于意思自治做出的风险承受选择，应当为此承受最大的不利后果。</w:t>
      </w:r>
    </w:p>
    <w:bookmarkEnd w:id="43"/>
    <w:bookmarkEnd w:id="44"/>
    <w:bookmarkStart w:id="48" w:name="第四节-三国制度的比较与启示"/>
    <w:p>
      <w:pPr>
        <w:pStyle w:val="Heading3"/>
      </w:pPr>
      <w:r>
        <w:t xml:space="preserve">第四节 三国制度的比较与启示</w:t>
      </w:r>
    </w:p>
    <w:p>
      <w:pPr>
        <w:pStyle w:val="FirstParagraph"/>
      </w:pPr>
      <w:r>
        <w:t xml:space="preserve">通过上述比较法考察，可以归纳出美国、德国、日本三国破产债权劣后制度在以下维度上的异同：</w:t>
      </w:r>
    </w:p>
    <w:bookmarkStart w:id="45" w:name="一规范模式"/>
    <w:p>
      <w:pPr>
        <w:pStyle w:val="Heading4"/>
      </w:pPr>
      <w:r>
        <w:t xml:space="preserve">一、规范模式</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维度</w:t>
            </w:r>
          </w:p>
        </w:tc>
        <w:tc>
          <w:tcPr/>
          <w:p>
            <w:pPr>
              <w:pStyle w:val="Compact"/>
              <w:jc w:val="left"/>
            </w:pPr>
            <w:r>
              <w:t xml:space="preserve">美国</w:t>
            </w:r>
          </w:p>
        </w:tc>
        <w:tc>
          <w:tcPr/>
          <w:p>
            <w:pPr>
              <w:pStyle w:val="Compact"/>
              <w:jc w:val="left"/>
            </w:pPr>
            <w:r>
              <w:t xml:space="preserve">德国</w:t>
            </w:r>
          </w:p>
        </w:tc>
        <w:tc>
          <w:tcPr/>
          <w:p>
            <w:pPr>
              <w:pStyle w:val="Compact"/>
              <w:jc w:val="left"/>
            </w:pPr>
            <w:r>
              <w:t xml:space="preserve">日本</w:t>
            </w:r>
          </w:p>
        </w:tc>
      </w:tr>
      <w:tr>
        <w:tc>
          <w:tcPr/>
          <w:p>
            <w:pPr>
              <w:pStyle w:val="Compact"/>
              <w:jc w:val="left"/>
            </w:pPr>
            <w:r>
              <w:t xml:space="preserve">规范形式</w:t>
            </w:r>
          </w:p>
        </w:tc>
        <w:tc>
          <w:tcPr/>
          <w:p>
            <w:pPr>
              <w:pStyle w:val="Compact"/>
              <w:jc w:val="left"/>
            </w:pPr>
            <w:r>
              <w:t xml:space="preserve">判例法为主，辅以成文法框架</w:t>
            </w:r>
          </w:p>
        </w:tc>
        <w:tc>
          <w:tcPr/>
          <w:p>
            <w:pPr>
              <w:pStyle w:val="Compact"/>
              <w:jc w:val="left"/>
            </w:pPr>
            <w:r>
              <w:t xml:space="preserve">成文法明确列举</w:t>
            </w:r>
          </w:p>
        </w:tc>
        <w:tc>
          <w:tcPr/>
          <w:p>
            <w:pPr>
              <w:pStyle w:val="Compact"/>
              <w:jc w:val="left"/>
            </w:pPr>
            <w:r>
              <w:t xml:space="preserve">成文法明确列举</w:t>
            </w:r>
          </w:p>
        </w:tc>
      </w:tr>
      <w:tr>
        <w:tc>
          <w:tcPr/>
          <w:p>
            <w:pPr>
              <w:pStyle w:val="Compact"/>
              <w:jc w:val="left"/>
            </w:pPr>
            <w:r>
              <w:t xml:space="preserve">法官裁量权</w:t>
            </w:r>
          </w:p>
        </w:tc>
        <w:tc>
          <w:tcPr/>
          <w:p>
            <w:pPr>
              <w:pStyle w:val="Compact"/>
              <w:jc w:val="left"/>
            </w:pPr>
            <w:r>
              <w:t xml:space="preserve">广泛</w:t>
            </w:r>
          </w:p>
        </w:tc>
        <w:tc>
          <w:tcPr/>
          <w:p>
            <w:pPr>
              <w:pStyle w:val="Compact"/>
              <w:jc w:val="left"/>
            </w:pPr>
            <w:r>
              <w:t xml:space="preserve">有限</w:t>
            </w:r>
          </w:p>
        </w:tc>
        <w:tc>
          <w:tcPr/>
          <w:p>
            <w:pPr>
              <w:pStyle w:val="Compact"/>
              <w:jc w:val="left"/>
            </w:pPr>
            <w:r>
              <w:t xml:space="preserve">有限</w:t>
            </w:r>
          </w:p>
        </w:tc>
      </w:tr>
      <w:tr>
        <w:tc>
          <w:tcPr/>
          <w:p>
            <w:pPr>
              <w:pStyle w:val="Compact"/>
              <w:jc w:val="left"/>
            </w:pPr>
            <w:r>
              <w:t xml:space="preserve">劣后类型</w:t>
            </w:r>
          </w:p>
        </w:tc>
        <w:tc>
          <w:tcPr/>
          <w:p>
            <w:pPr>
              <w:pStyle w:val="Compact"/>
              <w:jc w:val="left"/>
            </w:pPr>
            <w:r>
              <w:t xml:space="preserve">开放式（个案认定）</w:t>
            </w:r>
          </w:p>
        </w:tc>
        <w:tc>
          <w:tcPr/>
          <w:p>
            <w:pPr>
              <w:pStyle w:val="Compact"/>
              <w:jc w:val="left"/>
            </w:pPr>
            <w:r>
              <w:t xml:space="preserve">封闭式（法定列举）</w:t>
            </w:r>
          </w:p>
        </w:tc>
        <w:tc>
          <w:tcPr/>
          <w:p>
            <w:pPr>
              <w:pStyle w:val="Compact"/>
              <w:jc w:val="left"/>
            </w:pPr>
            <w:r>
              <w:t xml:space="preserve">封闭式（法定列举）</w:t>
            </w:r>
          </w:p>
        </w:tc>
      </w:tr>
      <w:tr>
        <w:tc>
          <w:tcPr/>
          <w:p>
            <w:pPr>
              <w:pStyle w:val="Compact"/>
              <w:jc w:val="left"/>
            </w:pPr>
            <w:r>
              <w:t xml:space="preserve">惩罚性债权处理</w:t>
            </w:r>
          </w:p>
        </w:tc>
        <w:tc>
          <w:tcPr/>
          <w:p>
            <w:pPr>
              <w:pStyle w:val="Compact"/>
              <w:jc w:val="left"/>
            </w:pPr>
            <w:r>
              <w:t xml:space="preserve">依附于衡平居次的个案判断</w:t>
            </w:r>
          </w:p>
        </w:tc>
        <w:tc>
          <w:tcPr/>
          <w:p>
            <w:pPr>
              <w:pStyle w:val="Compact"/>
              <w:jc w:val="left"/>
            </w:pPr>
            <w:r>
              <w:t xml:space="preserve">明确列为劣后债权</w:t>
            </w:r>
          </w:p>
        </w:tc>
        <w:tc>
          <w:tcPr/>
          <w:p>
            <w:pPr>
              <w:pStyle w:val="Compact"/>
              <w:jc w:val="left"/>
            </w:pPr>
            <w:r>
              <w:t xml:space="preserve">明确列为劣后债权</w:t>
            </w:r>
          </w:p>
        </w:tc>
      </w:tr>
      <w:tr>
        <w:tc>
          <w:tcPr/>
          <w:p>
            <w:pPr>
              <w:pStyle w:val="Compact"/>
              <w:jc w:val="left"/>
            </w:pPr>
            <w:r>
              <w:t xml:space="preserve">劣后内部分层</w:t>
            </w:r>
          </w:p>
        </w:tc>
        <w:tc>
          <w:tcPr/>
          <w:p>
            <w:pPr>
              <w:pStyle w:val="Compact"/>
              <w:jc w:val="left"/>
            </w:pPr>
            <w:r>
              <w:t xml:space="preserve">判例发展</w:t>
            </w:r>
          </w:p>
        </w:tc>
        <w:tc>
          <w:tcPr/>
          <w:p>
            <w:pPr>
              <w:pStyle w:val="Compact"/>
              <w:jc w:val="left"/>
            </w:pPr>
            <w:r>
              <w:t xml:space="preserve">法定排序</w:t>
            </w:r>
          </w:p>
        </w:tc>
        <w:tc>
          <w:tcPr/>
          <w:p>
            <w:pPr>
              <w:pStyle w:val="Compact"/>
              <w:jc w:val="left"/>
            </w:pPr>
            <w:r>
              <w:t xml:space="preserve">未作细分</w:t>
            </w:r>
          </w:p>
        </w:tc>
      </w:tr>
      <w:tr>
        <w:tc>
          <w:tcPr/>
          <w:p>
            <w:pPr>
              <w:pStyle w:val="Compact"/>
              <w:jc w:val="left"/>
            </w:pPr>
            <w:r>
              <w:t xml:space="preserve">股东贷款劣后</w:t>
            </w:r>
          </w:p>
        </w:tc>
        <w:tc>
          <w:tcPr/>
          <w:p>
            <w:pPr>
              <w:pStyle w:val="Compact"/>
              <w:jc w:val="left"/>
            </w:pPr>
            <w:r>
              <w:t xml:space="preserve">通过衡平居次个案处理</w:t>
            </w:r>
          </w:p>
        </w:tc>
        <w:tc>
          <w:tcPr/>
          <w:p>
            <w:pPr>
              <w:pStyle w:val="Compact"/>
              <w:jc w:val="left"/>
            </w:pPr>
            <w:r>
              <w:t xml:space="preserve">2008年后一律劣后</w:t>
            </w:r>
          </w:p>
        </w:tc>
        <w:tc>
          <w:tcPr/>
          <w:p>
            <w:pPr>
              <w:pStyle w:val="Compact"/>
              <w:jc w:val="left"/>
            </w:pPr>
            <w:r>
              <w:t xml:space="preserve">无专门规定</w:t>
            </w:r>
          </w:p>
        </w:tc>
      </w:tr>
    </w:tbl>
    <w:bookmarkEnd w:id="45"/>
    <w:bookmarkStart w:id="46" w:name="二核心差异分析"/>
    <w:p>
      <w:pPr>
        <w:pStyle w:val="Heading4"/>
      </w:pPr>
      <w:r>
        <w:t xml:space="preserve">二、核心差异分析</w:t>
      </w:r>
    </w:p>
    <w:p>
      <w:pPr>
        <w:pStyle w:val="FirstParagraph"/>
      </w:pPr>
      <w:r>
        <w:rPr>
          <w:bCs/>
          <w:b/>
        </w:rPr>
        <w:t xml:space="preserve">第一，法定主义与衡平裁量之间的张力。</w:t>
      </w:r>
      <w:r>
        <w:t xml:space="preserve"> </w:t>
      </w:r>
      <w:r>
        <w:t xml:space="preserve">德国和日本采取法定列举模式，优点在于法律适用的确定性和可预见性，缺点在于可能无法涵盖实践中出现的新型劣后情形。美国采取衡平裁量模式，优点在于灵活性，缺点在于法律适用的不确定性增大，当事人的预期可能落空。</w:t>
      </w:r>
    </w:p>
    <w:p>
      <w:pPr>
        <w:pStyle w:val="BodyText"/>
      </w:pPr>
      <w:r>
        <w:rPr>
          <w:bCs/>
          <w:b/>
        </w:rPr>
        <w:t xml:space="preserve">第二，惩罚性债权劣后的正当性论证路径不同。</w:t>
      </w:r>
      <w:r>
        <w:t xml:space="preserve"> </w:t>
      </w:r>
      <w:r>
        <w:t xml:space="preserve">德国和日本从破产法的概括清偿特殊性出发，直接以成文法方式宣告惩罚性债权的劣后地位，论证路径较为简洁。美国则主要从衡平法的公平正义理念出发，通过个案中对”不公平行为”的审查来决定是否劣后，论证路径更为迂回。</w:t>
      </w:r>
    </w:p>
    <w:p>
      <w:pPr>
        <w:pStyle w:val="BodyText"/>
      </w:pPr>
      <w:r>
        <w:rPr>
          <w:bCs/>
          <w:b/>
        </w:rPr>
        <w:t xml:space="preserve">第三，对补偿性与惩罚性的区分精细度不同。</w:t>
      </w:r>
      <w:r>
        <w:t xml:space="preserve"> </w:t>
      </w:r>
      <w:r>
        <w:t xml:space="preserve">三国在处理兼具补偿性和惩罚性的债权时，均面临如何区分两种成分的难题。日本法采取”一刀切”的方式，将罚金等统一列为劣后债权；德国法同样以法定列举为主，但在学说层面存在对混合性质债权进行分割处理的讨论；美国法则由法院在个案中进行分割，灵活性最强但标准最不统一。</w:t>
      </w:r>
    </w:p>
    <w:bookmarkEnd w:id="46"/>
    <w:bookmarkStart w:id="47" w:name="三对中国的启示"/>
    <w:p>
      <w:pPr>
        <w:pStyle w:val="Heading4"/>
      </w:pPr>
      <w:r>
        <w:t xml:space="preserve">三、对中国的启示</w:t>
      </w:r>
    </w:p>
    <w:p>
      <w:pPr>
        <w:pStyle w:val="FirstParagraph"/>
      </w:pPr>
      <w:r>
        <w:t xml:space="preserve">综合三国经验，对我国惩罚性债权劣后制度的构建具有以下启示：</w:t>
      </w:r>
    </w:p>
    <w:p>
      <w:pPr>
        <w:pStyle w:val="BodyText"/>
      </w:pPr>
      <w:r>
        <w:rPr>
          <w:bCs/>
          <w:b/>
        </w:rPr>
        <w:t xml:space="preserve">第一，宜采取”法定列举为主、司法裁量为辅”的混合模式。</w:t>
      </w:r>
      <w:r>
        <w:t xml:space="preserve"> </w:t>
      </w:r>
      <w:r>
        <w:t xml:space="preserve">考虑到我国目前劣后债权制度尚处于初创阶段，法官在这一领域的经验积累有限，宜借鉴德国和日本的法定列举模式以确保法律适用的统一性，同时预留必要的弹性条款以应对新型情形。</w:t>
      </w:r>
    </w:p>
    <w:p>
      <w:pPr>
        <w:pStyle w:val="BodyText"/>
      </w:pPr>
      <w:r>
        <w:rPr>
          <w:bCs/>
          <w:b/>
        </w:rPr>
        <w:t xml:space="preserve">第二，应当重视劣后债权内部的分层设计。</w:t>
      </w:r>
      <w:r>
        <w:t xml:space="preserve"> </w:t>
      </w:r>
      <w:r>
        <w:t xml:space="preserve">借鉴德国的做法，在劣后债权内部建立清偿顺序，使不同性质的劣后债权之间也存在合理的受偿次序。</w:t>
      </w:r>
    </w:p>
    <w:p>
      <w:pPr>
        <w:pStyle w:val="BodyText"/>
      </w:pPr>
      <w:r>
        <w:rPr>
          <w:bCs/>
          <w:b/>
        </w:rPr>
        <w:t xml:space="preserve">第三，对兼具补偿性和惩罚性的债权进行分割处理。</w:t>
      </w:r>
      <w:r>
        <w:t xml:space="preserve"> </w:t>
      </w:r>
      <w:r>
        <w:t xml:space="preserve">将惩罚性赔偿金中的补偿性部分与纯粹惩罚性部分加以区分，前者作为普通破产债权受偿，后者劣后清偿，以实现更为精细化的利益平衡。</w:t>
      </w:r>
    </w:p>
    <w:p>
      <w:r>
        <w:pict>
          <v:rect style="width:0;height:1.5pt" o:hralign="center" o:hrstd="t" o:hr="t"/>
        </w:pict>
      </w:r>
    </w:p>
    <w:bookmarkEnd w:id="47"/>
    <w:bookmarkEnd w:id="48"/>
    <w:bookmarkEnd w:id="49"/>
    <w:bookmarkStart w:id="65" w:name="第四章-我国惩罚性债权劣后清偿的实践考察"/>
    <w:p>
      <w:pPr>
        <w:pStyle w:val="Heading2"/>
      </w:pPr>
      <w:r>
        <w:t xml:space="preserve">第四章 我国惩罚性债权劣后清偿的实践考察</w:t>
      </w:r>
    </w:p>
    <w:bookmarkStart w:id="54" w:name="第一节-规范层面的制度现状"/>
    <w:p>
      <w:pPr>
        <w:pStyle w:val="Heading3"/>
      </w:pPr>
      <w:r>
        <w:t xml:space="preserve">第一节 规范层面的制度现状</w:t>
      </w:r>
    </w:p>
    <w:bookmarkStart w:id="50" w:name="一企业破产法的立法空白"/>
    <w:p>
      <w:pPr>
        <w:pStyle w:val="Heading4"/>
      </w:pPr>
      <w:r>
        <w:t xml:space="preserve">一、《企业破产法》的立法空白</w:t>
      </w:r>
    </w:p>
    <w:p>
      <w:pPr>
        <w:pStyle w:val="FirstParagraph"/>
      </w:pPr>
      <w:r>
        <w:t xml:space="preserve">我国现行2006年《企业破产法》对劣后债权未作任何规定。该法第113条仅规定了破产财产的清偿顺序：在优先清偿破产费用和共益债务之后，依次清偿（1）职工债权，（2）社会保险费用和税款，（3）普通破产债权。对于惩罚性债权在这一清偿体系中应处于何种地位，法律完全付之阙如。</w:t>
      </w:r>
    </w:p>
    <w:p>
      <w:pPr>
        <w:pStyle w:val="BodyText"/>
      </w:pPr>
      <w:r>
        <w:t xml:space="preserve">这一立法空白的直接后果是：各地法院在面对惩罚性债权的清偿问题时，缺乏明确的法律依据，不得不依赖政策性文件、学理解释乃至法官个人的法律素养进行裁判，导致了司法实践的不统一。</w:t>
      </w:r>
    </w:p>
    <w:bookmarkEnd w:id="50"/>
    <w:bookmarkStart w:id="51" w:name="二破产审判纪要的政策指引"/>
    <w:p>
      <w:pPr>
        <w:pStyle w:val="Heading4"/>
      </w:pPr>
      <w:r>
        <w:t xml:space="preserve">二、《破产审判纪要》的政策指引</w:t>
      </w:r>
    </w:p>
    <w:p>
      <w:pPr>
        <w:pStyle w:val="FirstParagraph"/>
      </w:pPr>
      <w:r>
        <w:t xml:space="preserve">2018年3月，最高人民法院印发《全国法院破产审判工作会议纪要》（法〔2018〕53号，以下简称《破产审判纪要》），在第28条中确立了劣后清偿的基本原则：</w:t>
      </w:r>
    </w:p>
    <w:p>
      <w:pPr>
        <w:pStyle w:val="BlockText"/>
      </w:pPr>
      <w:r>
        <w:t xml:space="preserve">“</w:t>
      </w:r>
      <w:r>
        <w:t xml:space="preserve">破产债权的清偿原则和顺序。破产财产依照企业破产法第一百一十三条规定的顺序清偿后仍有剩余的，可依次清偿破产受理前产生的民事惩罚性赔偿金、行政罚款、刑事罚金等惩罚性债权。</w:t>
      </w:r>
      <w:r>
        <w:t xml:space="preserve">”</w:t>
      </w:r>
    </w:p>
    <w:p>
      <w:pPr>
        <w:pStyle w:val="FirstParagraph"/>
      </w:pPr>
      <w:r>
        <w:t xml:space="preserve">该条文确立了以下几个关键规则：</w:t>
      </w:r>
      <w:r>
        <w:rPr>
          <w:bCs/>
          <w:b/>
        </w:rPr>
        <w:t xml:space="preserve">第一，</w:t>
      </w:r>
      <w:r>
        <w:t xml:space="preserve"> </w:t>
      </w:r>
      <w:r>
        <w:t xml:space="preserve">惩罚性债权属于破产债权，不应排除在破产程序之外；</w:t>
      </w:r>
      <w:r>
        <w:rPr>
          <w:bCs/>
          <w:b/>
        </w:rPr>
        <w:t xml:space="preserve">第二，</w:t>
      </w:r>
      <w:r>
        <w:t xml:space="preserve"> </w:t>
      </w:r>
      <w:r>
        <w:t xml:space="preserve">惩罚性债权的清偿顺位在普通破产债权之后；</w:t>
      </w:r>
      <w:r>
        <w:rPr>
          <w:bCs/>
          <w:b/>
        </w:rPr>
        <w:t xml:space="preserve">第三，</w:t>
      </w:r>
      <w:r>
        <w:t xml:space="preserve"> </w:t>
      </w:r>
      <w:r>
        <w:t xml:space="preserve">惩罚性债权内部的清偿顺序为”民事惩罚性赔偿金→行政罚款→刑事罚金”，体现了”私法债权优先于公法债权”的基本原则。</w:t>
      </w:r>
    </w:p>
    <w:p>
      <w:pPr>
        <w:pStyle w:val="BodyText"/>
      </w:pPr>
      <w:r>
        <w:t xml:space="preserve">然而，《破产审判纪要》在法律体系中的地位是会议纪要而非司法解释，其效力层级相对较低。它不能直接作为裁判依据被引用，只能作为法院裁判的参考性文件。这一制度载体的先天不足，限制了劣后清偿规则的权威性和统一适用。</w:t>
      </w:r>
    </w:p>
    <w:bookmarkEnd w:id="51"/>
    <w:bookmarkStart w:id="52" w:name="三地方性规范的探索"/>
    <w:p>
      <w:pPr>
        <w:pStyle w:val="Heading4"/>
      </w:pPr>
      <w:r>
        <w:t xml:space="preserve">三、地方性规范的探索</w:t>
      </w:r>
    </w:p>
    <w:p>
      <w:pPr>
        <w:pStyle w:val="FirstParagraph"/>
      </w:pPr>
      <w:r>
        <w:t xml:space="preserve">在中央立法和最高人民法院司法解释缺位的背景下，部分地方法院和地方政府率先进行了制度探索：</w:t>
      </w:r>
    </w:p>
    <w:p>
      <w:pPr>
        <w:pStyle w:val="BodyText"/>
      </w:pPr>
      <w:r>
        <w:rPr>
          <w:bCs/>
          <w:b/>
        </w:rPr>
        <w:t xml:space="preserve">上海市。</w:t>
      </w:r>
      <w:r>
        <w:t xml:space="preserve"> </w:t>
      </w:r>
      <w:r>
        <w:t xml:space="preserve">上海市高级人民法院在破产审判工作指引中，较早地确立了关联债权劣后清偿的裁判规则，明确了关联方利用不正当手段形成的债权应当劣后于其他普通债权受偿。</w:t>
      </w:r>
    </w:p>
    <w:p>
      <w:pPr>
        <w:pStyle w:val="BodyText"/>
      </w:pPr>
      <w:r>
        <w:rPr>
          <w:bCs/>
          <w:b/>
        </w:rPr>
        <w:t xml:space="preserve">重庆市。</w:t>
      </w:r>
      <w:r>
        <w:t xml:space="preserve"> </w:t>
      </w:r>
      <w:r>
        <w:t xml:space="preserve">重庆市高级人民法院发布的相关规范性文件中，对劣后债权的认定标准和程序规则作出了较为详细的规定。</w:t>
      </w:r>
    </w:p>
    <w:p>
      <w:pPr>
        <w:pStyle w:val="BodyText"/>
      </w:pPr>
      <w:r>
        <w:rPr>
          <w:bCs/>
          <w:b/>
        </w:rPr>
        <w:t xml:space="preserve">深圳市。</w:t>
      </w:r>
      <w:r>
        <w:t xml:space="preserve"> </w:t>
      </w:r>
      <w:r>
        <w:t xml:space="preserve">深圳作为个人破产制度的试点城市，在《深圳经济特区个人破产条例》的实施中积累了个人破产程序中惩罚性债权处理的经验。</w:t>
      </w:r>
    </w:p>
    <w:p>
      <w:pPr>
        <w:pStyle w:val="BodyText"/>
      </w:pPr>
      <w:r>
        <w:t xml:space="preserve">这些地方性探索为全国性立法提供了宝贵的实践素材，但也反映出一个问题：在缺乏上位法统一规定的情况下，各地的做法难免存在差异，甚至可能出现相互矛盾的情形。</w:t>
      </w:r>
    </w:p>
    <w:bookmarkEnd w:id="52"/>
    <w:bookmarkStart w:id="53" w:name="四企业破产法修订草案的立法进展"/>
    <w:p>
      <w:pPr>
        <w:pStyle w:val="Heading4"/>
      </w:pPr>
      <w:r>
        <w:t xml:space="preserve">四、《企业破产法（修订草案）》的立法进展</w:t>
      </w:r>
    </w:p>
    <w:p>
      <w:pPr>
        <w:pStyle w:val="FirstParagraph"/>
      </w:pPr>
      <w:r>
        <w:t xml:space="preserve">2025年9月，全国人民代表大会常务委员会公布了《企业破产法（修订草案）》征求意见稿，其中第162条首次以立法形式系统规定了劣后债权制度。根据已公开的信息，该条文的主要内容包括：</w:t>
      </w:r>
    </w:p>
    <w:p>
      <w:pPr>
        <w:pStyle w:val="BodyText"/>
      </w:pPr>
      <w:r>
        <w:rPr>
          <w:bCs/>
          <w:b/>
        </w:rPr>
        <w:t xml:space="preserve">（一）取消”破产停止计息”规则。</w:t>
      </w:r>
      <w:r>
        <w:t xml:space="preserve"> </w:t>
      </w:r>
      <w:r>
        <w:t xml:space="preserve">现行法规定破产申请受理后对附利息的债权停止计息，修订草案删除了这一规则，转而将破产申请受理后产生的利息列为劣后债权。</w:t>
      </w:r>
    </w:p>
    <w:p>
      <w:pPr>
        <w:pStyle w:val="BodyText"/>
      </w:pPr>
      <w:r>
        <w:rPr>
          <w:bCs/>
          <w:b/>
        </w:rPr>
        <w:t xml:space="preserve">（二）系统列举劣后债权类型。</w:t>
      </w:r>
      <w:r>
        <w:t xml:space="preserve"> </w:t>
      </w:r>
      <w:r>
        <w:t xml:space="preserve">修订草案明确了若干类劣后债权，包括但不限于破产受理后的利息、惩罚性赔偿金、罚款、罚金等。</w:t>
      </w:r>
    </w:p>
    <w:p>
      <w:pPr>
        <w:pStyle w:val="BodyText"/>
      </w:pPr>
      <w:r>
        <w:rPr>
          <w:bCs/>
          <w:b/>
        </w:rPr>
        <w:t xml:space="preserve">（三）明确清偿顺位关系。</w:t>
      </w:r>
      <w:r>
        <w:t xml:space="preserve"> </w:t>
      </w:r>
      <w:r>
        <w:t xml:space="preserve">劣后债权仅在普通破产债权获得全额清偿后方可受偿。</w:t>
      </w:r>
    </w:p>
    <w:p>
      <w:pPr>
        <w:pStyle w:val="BodyText"/>
      </w:pPr>
      <w:r>
        <w:t xml:space="preserve">这一立法进展标志着我国破产法在债权分层体系上的重大突破，但鉴于该草案尚在征求意见阶段，最终文本可能还会发生变化。学界对修订草案中劣后债权条文的评价总体上是积极的，但也提出了一些需要进一步完善的意见。</w:t>
      </w:r>
    </w:p>
    <w:bookmarkEnd w:id="53"/>
    <w:bookmarkEnd w:id="54"/>
    <w:bookmarkStart w:id="59" w:name="第二节-司法实践中的典型案例"/>
    <w:p>
      <w:pPr>
        <w:pStyle w:val="Heading3"/>
      </w:pPr>
      <w:r>
        <w:t xml:space="preserve">第二节 司法实践中的典型案例</w:t>
      </w:r>
    </w:p>
    <w:bookmarkStart w:id="55" w:name="一王某诉北京泰丰房地产开发有限公司案"/>
    <w:p>
      <w:pPr>
        <w:pStyle w:val="Heading4"/>
      </w:pPr>
      <w:r>
        <w:t xml:space="preserve">一、王某诉北京泰丰房地产开发有限公司案</w:t>
      </w:r>
    </w:p>
    <w:p>
      <w:pPr>
        <w:pStyle w:val="FirstParagraph"/>
      </w:pPr>
      <w:r>
        <w:rPr>
          <w:bCs/>
          <w:b/>
        </w:rPr>
        <w:t xml:space="preserve">案号：</w:t>
      </w:r>
      <w:r>
        <w:t xml:space="preserve"> </w:t>
      </w:r>
      <w:r>
        <w:t xml:space="preserve">（2016）京民终129号</w:t>
      </w:r>
    </w:p>
    <w:p>
      <w:pPr>
        <w:pStyle w:val="BodyText"/>
      </w:pPr>
      <w:r>
        <w:rPr>
          <w:bCs/>
          <w:b/>
        </w:rPr>
        <w:t xml:space="preserve">基本案情：</w:t>
      </w:r>
      <w:r>
        <w:t xml:space="preserve"> </w:t>
      </w:r>
      <w:r>
        <w:t xml:space="preserve">在一起商品房买卖合同纠纷中，法院判决支持了消费者依据《消费者权益保护法》主张的惩罚性赔偿请求。随后，被告房地产公司进入破产程序。消费者据此向破产管理人申报了包含惩罚性赔偿金在内的全部债权。</w:t>
      </w:r>
    </w:p>
    <w:p>
      <w:pPr>
        <w:pStyle w:val="BodyText"/>
      </w:pPr>
      <w:r>
        <w:rPr>
          <w:bCs/>
          <w:b/>
        </w:rPr>
        <w:t xml:space="preserve">裁判要旨：</w:t>
      </w:r>
      <w:r>
        <w:t xml:space="preserve"> </w:t>
      </w:r>
      <w:r>
        <w:t xml:space="preserve">北京市高级人民法院终审认为，惩罚性赔偿金属于破产债权，应予确认。但基于破产法公平受偿原则，惩罚性赔偿金应当劣后于普通破产债权清偿，即在普通债权获得全额清偿后，若仍有剩余破产财产，方可清偿。</w:t>
      </w:r>
    </w:p>
    <w:p>
      <w:pPr>
        <w:pStyle w:val="BodyText"/>
      </w:pPr>
      <w:r>
        <w:rPr>
          <w:bCs/>
          <w:b/>
        </w:rPr>
        <w:t xml:space="preserve">本案意义：</w:t>
      </w:r>
      <w:r>
        <w:t xml:space="preserve"> </w:t>
      </w:r>
      <w:r>
        <w:t xml:space="preserve">本案是较早明确将民事惩罚性赔偿金认定为劣后债权的案例，为后续司法实践提供了重要参照。法院虽未援引《破产审判纪要》（本案审结时该纪要尚未出台），但已经运用了”补偿性优先于惩罚性”的裁判理念。</w:t>
      </w:r>
    </w:p>
    <w:bookmarkEnd w:id="55"/>
    <w:bookmarkStart w:id="56" w:name="二工行沈河支行与中国外运辽宁储运公司案"/>
    <w:p>
      <w:pPr>
        <w:pStyle w:val="Heading4"/>
      </w:pPr>
      <w:r>
        <w:t xml:space="preserve">二、工行沈河支行与中国外运辽宁储运公司案</w:t>
      </w:r>
    </w:p>
    <w:p>
      <w:pPr>
        <w:pStyle w:val="FirstParagraph"/>
      </w:pPr>
      <w:r>
        <w:rPr>
          <w:bCs/>
          <w:b/>
        </w:rPr>
        <w:t xml:space="preserve">案号：</w:t>
      </w:r>
      <w:r>
        <w:t xml:space="preserve"> </w:t>
      </w:r>
      <w:r>
        <w:t xml:space="preserve">（2021）辽民终498号</w:t>
      </w:r>
    </w:p>
    <w:p>
      <w:pPr>
        <w:pStyle w:val="BodyText"/>
      </w:pPr>
      <w:r>
        <w:rPr>
          <w:bCs/>
          <w:b/>
        </w:rPr>
        <w:t xml:space="preserve">基本案情：</w:t>
      </w:r>
      <w:r>
        <w:t xml:space="preserve"> </w:t>
      </w:r>
      <w:r>
        <w:t xml:space="preserve">债权人依据生效判决向破产企业申报债权，其中包含因债务人未按判决履行金钱给付义务而产生的加倍债务利息。</w:t>
      </w:r>
    </w:p>
    <w:p>
      <w:pPr>
        <w:pStyle w:val="BodyText"/>
      </w:pPr>
      <w:r>
        <w:rPr>
          <w:bCs/>
          <w:b/>
        </w:rPr>
        <w:t xml:space="preserve">裁判要旨：</w:t>
      </w:r>
      <w:r>
        <w:t xml:space="preserve"> </w:t>
      </w:r>
      <w:r>
        <w:t xml:space="preserve">辽宁省高级人民法院认为，迟延履行的加倍债务利息属于”破产受理前产生的民事惩罚性赔偿金”的范畴，其目的在于惩罚和督促被执行人及时履行义务，具有惩罚性质，应当劣后于普通破产债权清偿。</w:t>
      </w:r>
    </w:p>
    <w:p>
      <w:pPr>
        <w:pStyle w:val="BodyText"/>
      </w:pPr>
      <w:r>
        <w:rPr>
          <w:bCs/>
          <w:b/>
        </w:rPr>
        <w:t xml:space="preserve">本案意义：</w:t>
      </w:r>
      <w:r>
        <w:t xml:space="preserve"> </w:t>
      </w:r>
      <w:r>
        <w:t xml:space="preserve">本案扩展了惩罚性债权的认定范围，将迟延履行加倍利息纳入惩罚性赔偿金的类别，体现了司法实践中对”惩罚性”概念的功能性理解——不局限于实体法上明确标注为”惩罚性赔偿”的债权，而是从债权的功能和目的出发进行实质判断。</w:t>
      </w:r>
    </w:p>
    <w:bookmarkEnd w:id="56"/>
    <w:bookmarkStart w:id="57" w:name="三郭东方等与南通新大港储开发有限公司案"/>
    <w:p>
      <w:pPr>
        <w:pStyle w:val="Heading4"/>
      </w:pPr>
      <w:r>
        <w:t xml:space="preserve">三、郭东方等与南通新大港储开发有限公司案</w:t>
      </w:r>
    </w:p>
    <w:p>
      <w:pPr>
        <w:pStyle w:val="FirstParagraph"/>
      </w:pPr>
      <w:r>
        <w:rPr>
          <w:bCs/>
          <w:b/>
        </w:rPr>
        <w:t xml:space="preserve">案号：</w:t>
      </w:r>
      <w:r>
        <w:t xml:space="preserve"> </w:t>
      </w:r>
      <w:r>
        <w:t xml:space="preserve">（2020）苏民终50号</w:t>
      </w:r>
    </w:p>
    <w:p>
      <w:pPr>
        <w:pStyle w:val="BodyText"/>
      </w:pPr>
      <w:r>
        <w:rPr>
          <w:bCs/>
          <w:b/>
        </w:rPr>
        <w:t xml:space="preserve">基本案情：</w:t>
      </w:r>
      <w:r>
        <w:t xml:space="preserve"> </w:t>
      </w:r>
      <w:r>
        <w:t xml:space="preserve">合同约定了明显超过实际损失的高额违约金。债务人进入破产程序后，债权人按照合同约定的全额违约金申报债权。</w:t>
      </w:r>
    </w:p>
    <w:p>
      <w:pPr>
        <w:pStyle w:val="BodyText"/>
      </w:pPr>
      <w:r>
        <w:rPr>
          <w:bCs/>
          <w:b/>
        </w:rPr>
        <w:t xml:space="preserve">裁判要旨：</w:t>
      </w:r>
      <w:r>
        <w:t xml:space="preserve"> </w:t>
      </w:r>
      <w:r>
        <w:t xml:space="preserve">江苏省高级人民法院认为，合同中约定的违约金在超过实际损失的部分具有惩罚性质。在破产程序中，该超额部分应当劣后于其他普通债权受偿。</w:t>
      </w:r>
    </w:p>
    <w:p>
      <w:pPr>
        <w:pStyle w:val="BodyText"/>
      </w:pPr>
      <w:r>
        <w:rPr>
          <w:bCs/>
          <w:b/>
        </w:rPr>
        <w:t xml:space="preserve">本案意义：</w:t>
      </w:r>
      <w:r>
        <w:t xml:space="preserve"> </w:t>
      </w:r>
      <w:r>
        <w:t xml:space="preserve">本案的突破在于将”超额违约金”的惩罚性部分认定为劣后债权，实质上对约定违约金进行了”补偿性部分”与”惩罚性部分”的分割处理。这种精细化的认定方法对于完善劣后债权理论具有重要价值，但也引发了关于分割标准如何确定的新问题。</w:t>
      </w:r>
    </w:p>
    <w:bookmarkEnd w:id="57"/>
    <w:bookmarkStart w:id="58" w:name="四关联企业债权劣后典型案例"/>
    <w:p>
      <w:pPr>
        <w:pStyle w:val="Heading4"/>
      </w:pPr>
      <w:r>
        <w:t xml:space="preserve">四、关联企业债权劣后典型案例</w:t>
      </w:r>
    </w:p>
    <w:p>
      <w:pPr>
        <w:pStyle w:val="FirstParagraph"/>
      </w:pPr>
      <w:r>
        <w:t xml:space="preserve">在关联企业破产领域，</w:t>
      </w:r>
      <w:r>
        <w:t xml:space="preserve">“</w:t>
      </w:r>
      <w:r>
        <w:t xml:space="preserve">沙港公司诉开天公司案</w:t>
      </w:r>
      <w:r>
        <w:t xml:space="preserve">”</w:t>
      </w:r>
      <w:r>
        <w:t xml:space="preserve">是具有里程碑意义的案例。该案中，法院参照美国深石原则，认定控制股东因滥用控制权、资本显著不足等原因形成的关联债权应当劣后于外部债权人受偿。虽然该案处理的不是纯粹的惩罚性债权问题，但其裁判理念——基于公平原则在破产程序中调整债权清偿顺位——与惩罚性债权劣后理论高度契合。</w:t>
      </w:r>
    </w:p>
    <w:bookmarkEnd w:id="58"/>
    <w:bookmarkEnd w:id="59"/>
    <w:bookmarkStart w:id="64" w:name="第三节-实践中的争议焦点"/>
    <w:p>
      <w:pPr>
        <w:pStyle w:val="Heading3"/>
      </w:pPr>
      <w:r>
        <w:t xml:space="preserve">第三节 实践中的争议焦点</w:t>
      </w:r>
    </w:p>
    <w:bookmarkStart w:id="60" w:name="一法律依据的效力问题"/>
    <w:p>
      <w:pPr>
        <w:pStyle w:val="Heading4"/>
      </w:pPr>
      <w:r>
        <w:t xml:space="preserve">一、法律依据的效力问题</w:t>
      </w:r>
    </w:p>
    <w:p>
      <w:pPr>
        <w:pStyle w:val="FirstParagraph"/>
      </w:pPr>
      <w:r>
        <w:t xml:space="preserve">如前所述，惩罚性债权劣后清偿的主要规范依据是《破产审判纪要》第28条，而该纪要仅为政策性文件，并非正式的司法解释。在法律适用层面，法官能否直接依据会议纪要作出劣后清偿的裁判，实务中存在疑虑。</w:t>
      </w:r>
    </w:p>
    <w:p>
      <w:pPr>
        <w:pStyle w:val="BodyText"/>
      </w:pPr>
      <w:r>
        <w:t xml:space="preserve">更为复杂的是，《破产审判纪要》与2002年最高人民法院《关于审理企业破产案件若干问题的规定》之间存在规范冲突。后者第61条曾明确将”罚金、罚款”排除在破产债权之外，即这些惩罚性给付在破产程序中根本不予清偿。而《破产审判纪要》则将其重新纳入破产债权但劣后清偿。两个文件对同一问题的处理方案不同，且在效力层级上均非正式的法律或司法解释，法院在适用时面临选择困难。</w:t>
      </w:r>
    </w:p>
    <w:bookmarkEnd w:id="60"/>
    <w:bookmarkStart w:id="61" w:name="二惩罚性债权的界定标准"/>
    <w:p>
      <w:pPr>
        <w:pStyle w:val="Heading4"/>
      </w:pPr>
      <w:r>
        <w:t xml:space="preserve">二、惩罚性债权的界定标准</w:t>
      </w:r>
    </w:p>
    <w:p>
      <w:pPr>
        <w:pStyle w:val="FirstParagraph"/>
      </w:pPr>
      <w:r>
        <w:t xml:space="preserve">哪些债权属于”惩罚性债权”？这一问题看似简单，实际上充满争议。</w:t>
      </w:r>
    </w:p>
    <w:p>
      <w:pPr>
        <w:pStyle w:val="BodyText"/>
      </w:pPr>
      <w:r>
        <w:rPr>
          <w:bCs/>
          <w:b/>
        </w:rPr>
        <w:t xml:space="preserve">第一，纯粹惩罚性债权的认定相对容易。</w:t>
      </w:r>
      <w:r>
        <w:t xml:space="preserve"> </w:t>
      </w:r>
      <w:r>
        <w:t xml:space="preserve">行政罚款、刑事罚金的惩罚性质明确无争议。</w:t>
      </w:r>
    </w:p>
    <w:p>
      <w:pPr>
        <w:pStyle w:val="BodyText"/>
      </w:pPr>
      <w:r>
        <w:rPr>
          <w:bCs/>
          <w:b/>
        </w:rPr>
        <w:t xml:space="preserve">第二，混合性质债权的分割困难。</w:t>
      </w:r>
      <w:r>
        <w:t xml:space="preserve"> </w:t>
      </w:r>
      <w:r>
        <w:t xml:space="preserve">惩罚性赔偿金中通常包含补偿成分。以《消费者权益保护法》第55条为例，</w:t>
      </w:r>
      <w:r>
        <w:t xml:space="preserve">“</w:t>
      </w:r>
      <w:r>
        <w:t xml:space="preserve">退一赔三</w:t>
      </w:r>
      <w:r>
        <w:t xml:space="preserve">”</w:t>
      </w:r>
      <w:r>
        <w:t xml:space="preserve">中的”退一”是补偿性的，</w:t>
      </w:r>
      <w:r>
        <w:t xml:space="preserve">“</w:t>
      </w:r>
      <w:r>
        <w:t xml:space="preserve">赔三</w:t>
      </w:r>
      <w:r>
        <w:t xml:space="preserve">”</w:t>
      </w:r>
      <w:r>
        <w:t xml:space="preserve">才是惩罚性的。但是否所有惩罚性赔偿制度都可以如此清晰地分割？《食品安全法》第148条规定”支付价款十倍或者损失三倍的赔偿金”，其中的”十倍价款”是否全部为惩罚性还是包含补偿成分，在理论上存在争议。</w:t>
      </w:r>
    </w:p>
    <w:p>
      <w:pPr>
        <w:pStyle w:val="BodyText"/>
      </w:pPr>
      <w:r>
        <w:rPr>
          <w:bCs/>
          <w:b/>
        </w:rPr>
        <w:t xml:space="preserve">第三，边界性债权的性质争议。</w:t>
      </w:r>
      <w:r>
        <w:t xml:space="preserve"> </w:t>
      </w:r>
      <w:r>
        <w:t xml:space="preserve">迟延履行金、超额违约金、滞纳金等债权，虽然具有督促履行的功能，但是否应当被认定为”惩罚性债权”从而劣后清偿，各地法院的态度并不一致。部分法院将其视为惩罚性债权予以劣后，部分法院则认为这些债权具有”间接补偿”的功能（对债权人因迟延受偿而遭受的损失进行补偿），不应劣后。</w:t>
      </w:r>
    </w:p>
    <w:bookmarkEnd w:id="61"/>
    <w:bookmarkStart w:id="62" w:name="三惩罚性债权内部的清偿顺序"/>
    <w:p>
      <w:pPr>
        <w:pStyle w:val="Heading4"/>
      </w:pPr>
      <w:r>
        <w:t xml:space="preserve">三、惩罚性债权内部的清偿顺序</w:t>
      </w:r>
    </w:p>
    <w:p>
      <w:pPr>
        <w:pStyle w:val="FirstParagraph"/>
      </w:pPr>
      <w:r>
        <w:t xml:space="preserve">《破产审判纪要》虽然提出了”民事惩罚性赔偿金→行政罚款→刑事罚金”的清偿次序，但这一顺序的理论依据何在？为何民事惩罚性赔偿金应当优先于行政罚款和刑事罚金清偿？</w:t>
      </w:r>
    </w:p>
    <w:p>
      <w:pPr>
        <w:pStyle w:val="BodyText"/>
      </w:pPr>
      <w:r>
        <w:t xml:space="preserve">主流观点认为，这一顺序体现了”私法债权优先于公法债权”的基本原则。其理由在于：（1）民事惩罚性赔偿金的权利主体是特定的民事主体（如消费者），其受偿直接关系到个体的权益保护；而行政罚款和刑事罚金的权利主体是国家，国家具有多元化的收入来源，不应在破产程序中与私人债权人争夺有限的财产。（2）从功能上看，民事惩罚性赔偿金虽然超出了补偿范围，但仍然包含一定的补偿成分，与纯粹的公法制裁具有质的区别。</w:t>
      </w:r>
    </w:p>
    <w:p>
      <w:pPr>
        <w:pStyle w:val="BodyText"/>
      </w:pPr>
      <w:r>
        <w:t xml:space="preserve">但也有学者提出不同看法：税收优先权在破产法中已有明确规定（第113条第2顺位），而行政罚款在功能上与税收同为公法上的给付义务，是否应当类比税收享有一定的优先地位？这一争议反映了在公法利益保护与私法权益保障之间的深层张力。</w:t>
      </w:r>
    </w:p>
    <w:bookmarkEnd w:id="62"/>
    <w:bookmarkStart w:id="63" w:name="四劣后债权人的程序性权利"/>
    <w:p>
      <w:pPr>
        <w:pStyle w:val="Heading4"/>
      </w:pPr>
      <w:r>
        <w:t xml:space="preserve">四、劣后债权人的程序性权利</w:t>
      </w:r>
    </w:p>
    <w:p>
      <w:pPr>
        <w:pStyle w:val="FirstParagraph"/>
      </w:pPr>
      <w:r>
        <w:t xml:space="preserve">劣后债权人在破产程序中是否享有表决权，是一个至今悬而未决的问题。</w:t>
      </w:r>
    </w:p>
    <w:p>
      <w:pPr>
        <w:pStyle w:val="BodyText"/>
      </w:pPr>
      <w:r>
        <w:rPr>
          <w:bCs/>
          <w:b/>
        </w:rPr>
        <w:t xml:space="preserve">否定论</w:t>
      </w:r>
      <w:r>
        <w:t xml:space="preserve">认为：劣后债权在绝大多数破产案件中不可能获得实际清偿，如果赋予劣后债权人表决权，可能导致其利用投票权阻碍破产程序的推进（如在重整计划表决中行使否决权），损害普通债权人的利益。</w:t>
      </w:r>
    </w:p>
    <w:p>
      <w:pPr>
        <w:pStyle w:val="BodyText"/>
      </w:pPr>
      <w:r>
        <w:rPr>
          <w:bCs/>
          <w:b/>
        </w:rPr>
        <w:t xml:space="preserve">肯定论</w:t>
      </w:r>
      <w:r>
        <w:t xml:space="preserve">认为：劣后债权人虽然清偿顺位靠后，但仍然是破产债权人，不应剥夺其参与破产程序的基本权利。特别是在债务人财产充裕的案件中，劣后债权人有可能获得实际清偿，此时排除其表决权缺乏正当性。</w:t>
      </w:r>
    </w:p>
    <w:p>
      <w:pPr>
        <w:pStyle w:val="BodyText"/>
      </w:pPr>
      <w:r>
        <w:t xml:space="preserve">折中方案是：原则上劣后债权人不享有表决权，但在破产管理人初步评估认为破产财产可能足以清偿或部分清偿劣后债权的情况下，应当允许劣后债权人参与表决。</w:t>
      </w:r>
    </w:p>
    <w:p>
      <w:r>
        <w:pict>
          <v:rect style="width:0;height:1.5pt" o:hralign="center" o:hrstd="t" o:hr="t"/>
        </w:pict>
      </w:r>
    </w:p>
    <w:bookmarkEnd w:id="63"/>
    <w:bookmarkEnd w:id="64"/>
    <w:bookmarkEnd w:id="65"/>
    <w:bookmarkStart w:id="79" w:name="第五章-完善我国惩罚性债权劣后制度的建议"/>
    <w:p>
      <w:pPr>
        <w:pStyle w:val="Heading2"/>
      </w:pPr>
      <w:r>
        <w:t xml:space="preserve">第五章 完善我国惩罚性债权劣后制度的建议</w:t>
      </w:r>
    </w:p>
    <w:bookmarkStart w:id="68" w:name="第一节-立法层面的制度构建"/>
    <w:p>
      <w:pPr>
        <w:pStyle w:val="Heading3"/>
      </w:pPr>
      <w:r>
        <w:t xml:space="preserve">第一节 立法层面的制度构建</w:t>
      </w:r>
    </w:p>
    <w:bookmarkStart w:id="66" w:name="一在企业破产法中明确规定劣后债权制度"/>
    <w:p>
      <w:pPr>
        <w:pStyle w:val="Heading4"/>
      </w:pPr>
      <w:r>
        <w:t xml:space="preserve">一、在《企业破产法》中明确规定劣后债权制度</w:t>
      </w:r>
    </w:p>
    <w:p>
      <w:pPr>
        <w:pStyle w:val="FirstParagraph"/>
      </w:pPr>
      <w:r>
        <w:t xml:space="preserve">现行《企业破产法（修订草案）》第162条已经迈出了关键一步，建议在最终立法中进一步完善以下方面：</w:t>
      </w:r>
    </w:p>
    <w:p>
      <w:pPr>
        <w:pStyle w:val="BodyText"/>
      </w:pPr>
      <w:r>
        <w:rPr>
          <w:bCs/>
          <w:b/>
        </w:rPr>
        <w:t xml:space="preserve">第一，采取”概括+列举”的立法技术。</w:t>
      </w:r>
      <w:r>
        <w:t xml:space="preserve"> </w:t>
      </w:r>
      <w:r>
        <w:t xml:space="preserve">除了列举具体的劣后债权类型外，应当增设一个概括性条款，授权法院在特定情形下根据公平原则将其他债权认定为劣后清偿，以应对法律无法穷尽列举的新型情形。条文可设计为：</w:t>
      </w:r>
      <w:r>
        <w:t xml:space="preserve">“</w:t>
      </w:r>
      <w:r>
        <w:t xml:space="preserve">下列债权劣后于普通破产债权清偿：……（六）人民法院根据公平原则认定应当劣后清偿的其他债权。</w:t>
      </w:r>
      <w:r>
        <w:t xml:space="preserve">”</w:t>
      </w:r>
    </w:p>
    <w:p>
      <w:pPr>
        <w:pStyle w:val="BodyText"/>
      </w:pPr>
      <w:r>
        <w:rPr>
          <w:bCs/>
          <w:b/>
        </w:rPr>
        <w:t xml:space="preserve">第二，明确惩罚性债权的基本类型。</w:t>
      </w:r>
      <w:r>
        <w:t xml:space="preserve"> </w:t>
      </w:r>
      <w:r>
        <w:t xml:space="preserve">在法律条文中至少应当明确列举以下惩罚性债权为劣后债权：（1）民事惩罚性赔偿金；（2）行政罚款及行政强制执行中的加处罚款；（3）刑事罚金；（4）税收滞纳金；（5）迟延履行加倍利息。</w:t>
      </w:r>
    </w:p>
    <w:p>
      <w:pPr>
        <w:pStyle w:val="BodyText"/>
      </w:pPr>
      <w:r>
        <w:rPr>
          <w:bCs/>
          <w:b/>
        </w:rPr>
        <w:t xml:space="preserve">第三，明确劣后债权的清偿顺位。</w:t>
      </w:r>
      <w:r>
        <w:t xml:space="preserve"> </w:t>
      </w:r>
      <w:r>
        <w:t xml:space="preserve">应当将劣后债权的清偿置于《企业破产法》第113条规定的三个顺位之后，即在普通破产债权获得全额清偿后方可受偿。</w:t>
      </w:r>
    </w:p>
    <w:bookmarkEnd w:id="66"/>
    <w:bookmarkStart w:id="67" w:name="二与其他部门法的衔接"/>
    <w:p>
      <w:pPr>
        <w:pStyle w:val="Heading4"/>
      </w:pPr>
      <w:r>
        <w:t xml:space="preserve">二、与其他部门法的衔接</w:t>
      </w:r>
    </w:p>
    <w:p>
      <w:pPr>
        <w:pStyle w:val="FirstParagraph"/>
      </w:pPr>
      <w:r>
        <w:t xml:space="preserve">劣后债权制度的建立需要与现有的部门法规范进行协调。建议：</w:t>
      </w:r>
    </w:p>
    <w:p>
      <w:pPr>
        <w:pStyle w:val="BodyText"/>
      </w:pPr>
      <w:r>
        <w:rPr>
          <w:bCs/>
          <w:b/>
        </w:rPr>
        <w:t xml:space="preserve">第一，</w:t>
      </w:r>
      <w:r>
        <w:t xml:space="preserve"> </w:t>
      </w:r>
      <w:r>
        <w:t xml:space="preserve">修改或废止2002年《关于审理企业破产案件若干问题的规定》第61条关于”罚金、罚款不属于破产债权”的规定，消除与劣后债权制度之间的规范冲突。</w:t>
      </w:r>
    </w:p>
    <w:p>
      <w:pPr>
        <w:pStyle w:val="BodyText"/>
      </w:pPr>
      <w:r>
        <w:rPr>
          <w:bCs/>
          <w:b/>
        </w:rPr>
        <w:t xml:space="preserve">第二，</w:t>
      </w:r>
      <w:r>
        <w:t xml:space="preserve"> </w:t>
      </w:r>
      <w:r>
        <w:t xml:space="preserve">在《行政处罚法》《刑法》等相关法律中增设衔接条款，明确行政罚款和刑事罚金在债务人破产时的清偿地位。</w:t>
      </w:r>
    </w:p>
    <w:bookmarkEnd w:id="67"/>
    <w:bookmarkEnd w:id="68"/>
    <w:bookmarkStart w:id="71" w:name="第二节-司法层面的规则完善"/>
    <w:p>
      <w:pPr>
        <w:pStyle w:val="Heading3"/>
      </w:pPr>
      <w:r>
        <w:t xml:space="preserve">第二节 司法层面的规则完善</w:t>
      </w:r>
    </w:p>
    <w:bookmarkStart w:id="69" w:name="一出台专门的司法解释"/>
    <w:p>
      <w:pPr>
        <w:pStyle w:val="Heading4"/>
      </w:pPr>
      <w:r>
        <w:t xml:space="preserve">一、出台专门的司法解释</w:t>
      </w:r>
    </w:p>
    <w:p>
      <w:pPr>
        <w:pStyle w:val="FirstParagraph"/>
      </w:pPr>
      <w:r>
        <w:t xml:space="preserve">建议最高人民法院就劣后债权问题出台专门的司法解释，明确以下操作性规则：</w:t>
      </w:r>
    </w:p>
    <w:p>
      <w:pPr>
        <w:pStyle w:val="BodyText"/>
      </w:pPr>
      <w:r>
        <w:rPr>
          <w:bCs/>
          <w:b/>
        </w:rPr>
        <w:t xml:space="preserve">（一）劣后债权的认定程序。</w:t>
      </w:r>
      <w:r>
        <w:t xml:space="preserve"> </w:t>
      </w:r>
      <w:r>
        <w:t xml:space="preserve">明确由谁（债权人、管理人、法院）提出劣后清偿的主张，以及审查和认定的程序流程。</w:t>
      </w:r>
    </w:p>
    <w:p>
      <w:pPr>
        <w:pStyle w:val="BodyText"/>
      </w:pPr>
      <w:r>
        <w:rPr>
          <w:bCs/>
          <w:b/>
        </w:rPr>
        <w:t xml:space="preserve">（二）举证责任的分配。</w:t>
      </w:r>
      <w:r>
        <w:t xml:space="preserve"> </w:t>
      </w:r>
      <w:r>
        <w:t xml:space="preserve">原则上由主张债权不应劣后的债权人承担举证责任，证明其债权不属于惩罚性债权或具有充分的补偿性基础。</w:t>
      </w:r>
    </w:p>
    <w:p>
      <w:pPr>
        <w:pStyle w:val="BodyText"/>
      </w:pPr>
      <w:r>
        <w:rPr>
          <w:bCs/>
          <w:b/>
        </w:rPr>
        <w:t xml:space="preserve">（三）混合性质债权的分割标准。</w:t>
      </w:r>
      <w:r>
        <w:t xml:space="preserve"> </w:t>
      </w:r>
      <w:r>
        <w:t xml:space="preserve">对于兼具补偿性和惩罚性的债权，明确分割的方法和标准。</w:t>
      </w:r>
    </w:p>
    <w:bookmarkEnd w:id="69"/>
    <w:bookmarkStart w:id="70" w:name="二发布指导性案例"/>
    <w:p>
      <w:pPr>
        <w:pStyle w:val="Heading4"/>
      </w:pPr>
      <w:r>
        <w:t xml:space="preserve">二、发布指导性案例</w:t>
      </w:r>
    </w:p>
    <w:p>
      <w:pPr>
        <w:pStyle w:val="FirstParagraph"/>
      </w:pPr>
      <w:r>
        <w:t xml:space="preserve">通过最高人民法院指导性案例制度，发布若干惩罚性债权劣后清偿的典型案例，为全国各级法院提供裁判参考。指导性案例应当涵盖不同类型的惩罚性债权（民事惩罚性赔偿金、行政罚款、刑事罚金、超额违约金等），以增强裁判标准的统一性。</w:t>
      </w:r>
    </w:p>
    <w:bookmarkEnd w:id="70"/>
    <w:bookmarkEnd w:id="71"/>
    <w:bookmarkStart w:id="74" w:name="第三节-惩罚性债权的精细化分类"/>
    <w:p>
      <w:pPr>
        <w:pStyle w:val="Heading3"/>
      </w:pPr>
      <w:r>
        <w:t xml:space="preserve">第三节 惩罚性债权的精细化分类</w:t>
      </w:r>
    </w:p>
    <w:bookmarkStart w:id="72" w:name="一补偿性部分与惩罚性部分的分割"/>
    <w:p>
      <w:pPr>
        <w:pStyle w:val="Heading4"/>
      </w:pPr>
      <w:r>
        <w:t xml:space="preserve">一、补偿性部分与惩罚性部分的分割</w:t>
      </w:r>
    </w:p>
    <w:p>
      <w:pPr>
        <w:pStyle w:val="FirstParagraph"/>
      </w:pPr>
      <w:r>
        <w:t xml:space="preserve">对于兼具补偿性和惩罚性的债权，建议采取”分割处理”方案：</w:t>
      </w:r>
    </w:p>
    <w:p>
      <w:pPr>
        <w:pStyle w:val="BodyText"/>
      </w:pPr>
      <w:r>
        <w:rPr>
          <w:bCs/>
          <w:b/>
        </w:rPr>
        <w:t xml:space="preserve">第一，</w:t>
      </w:r>
      <w:r>
        <w:t xml:space="preserve"> </w:t>
      </w:r>
      <w:r>
        <w:t xml:space="preserve">可明确分割的，将补偿性部分作为普通破产债权受偿，惩罚性部分劣后清偿。例如，《消费者权益保护法》第55条”退一赔三”中的”退一”为补偿部分，</w:t>
      </w:r>
      <w:r>
        <w:t xml:space="preserve">“</w:t>
      </w:r>
      <w:r>
        <w:t xml:space="preserve">赔三</w:t>
      </w:r>
      <w:r>
        <w:t xml:space="preserve">”</w:t>
      </w:r>
      <w:r>
        <w:t xml:space="preserve">为惩罚部分。</w:t>
      </w:r>
    </w:p>
    <w:p>
      <w:pPr>
        <w:pStyle w:val="BodyText"/>
      </w:pPr>
      <w:r>
        <w:rPr>
          <w:bCs/>
          <w:b/>
        </w:rPr>
        <w:t xml:space="preserve">第二，</w:t>
      </w:r>
      <w:r>
        <w:t xml:space="preserve"> </w:t>
      </w:r>
      <w:r>
        <w:t xml:space="preserve">难以明确分割的，由法院根据具体案件情况，参照实际损失与赔偿总额之间的比例关系进行合理认定。</w:t>
      </w:r>
    </w:p>
    <w:bookmarkEnd w:id="72"/>
    <w:bookmarkStart w:id="73" w:name="二惩罚性债权内部的分层清偿"/>
    <w:p>
      <w:pPr>
        <w:pStyle w:val="Heading4"/>
      </w:pPr>
      <w:r>
        <w:t xml:space="preserve">二、惩罚性债权内部的分层清偿</w:t>
      </w:r>
    </w:p>
    <w:p>
      <w:pPr>
        <w:pStyle w:val="FirstParagraph"/>
      </w:pPr>
      <w:r>
        <w:t xml:space="preserve">建议在立法中明确惩罚性劣后债权的内部清偿顺序，可按照以下层级排列：</w:t>
      </w:r>
    </w:p>
    <w:p>
      <w:pPr>
        <w:pStyle w:val="BodyText"/>
      </w:pPr>
      <w:r>
        <w:rPr>
          <w:bCs/>
          <w:b/>
        </w:rPr>
        <w:t xml:space="preserve">第一层级：</w:t>
      </w:r>
      <w:r>
        <w:t xml:space="preserve"> </w:t>
      </w:r>
      <w:r>
        <w:t xml:space="preserve">超额违约金和迟延履行金。此类债权虽具有惩罚性质，但兼具间接补偿功能，且权利主体为私人，应在惩罚性债权中优先受偿。</w:t>
      </w:r>
    </w:p>
    <w:p>
      <w:pPr>
        <w:pStyle w:val="BodyText"/>
      </w:pPr>
      <w:r>
        <w:rPr>
          <w:bCs/>
          <w:b/>
        </w:rPr>
        <w:t xml:space="preserve">第二层级：</w:t>
      </w:r>
      <w:r>
        <w:t xml:space="preserve"> </w:t>
      </w:r>
      <w:r>
        <w:t xml:space="preserve">民事惩罚性赔偿金（纯惩罚部分）。此类债权的权利主体虽为私人，但已超出补偿范围，纯粹服务于惩戒目的。</w:t>
      </w:r>
    </w:p>
    <w:p>
      <w:pPr>
        <w:pStyle w:val="BodyText"/>
      </w:pPr>
      <w:r>
        <w:rPr>
          <w:bCs/>
          <w:b/>
        </w:rPr>
        <w:t xml:space="preserve">第三层级：</w:t>
      </w:r>
      <w:r>
        <w:t xml:space="preserve"> </w:t>
      </w:r>
      <w:r>
        <w:t xml:space="preserve">行政罚款及滞纳金。公法上的行政制裁性给付，权利主体为国家。</w:t>
      </w:r>
    </w:p>
    <w:p>
      <w:pPr>
        <w:pStyle w:val="BodyText"/>
      </w:pPr>
      <w:r>
        <w:rPr>
          <w:bCs/>
          <w:b/>
        </w:rPr>
        <w:t xml:space="preserve">第四层级：</w:t>
      </w:r>
      <w:r>
        <w:t xml:space="preserve"> </w:t>
      </w:r>
      <w:r>
        <w:t xml:space="preserve">刑事罚金。最为严厉的公法惩罚性给付，排在最末位清偿。</w:t>
      </w:r>
    </w:p>
    <w:p>
      <w:pPr>
        <w:pStyle w:val="BodyText"/>
      </w:pPr>
      <w:r>
        <w:t xml:space="preserve">这一内部分层设计遵循了两个基本原则：</w:t>
      </w:r>
      <w:r>
        <w:rPr>
          <w:bCs/>
          <w:b/>
        </w:rPr>
        <w:t xml:space="preserve">私法债权优先于公法债权</w:t>
      </w:r>
      <w:r>
        <w:t xml:space="preserve">（因国家具有多元收入来源，不应与私人债权人争夺破产财产），以及</w:t>
      </w:r>
      <w:r>
        <w:rPr>
          <w:bCs/>
          <w:b/>
        </w:rPr>
        <w:t xml:space="preserve">兼具补偿功能的债权优先于纯粹惩罚性债权</w:t>
      </w:r>
      <w:r>
        <w:t xml:space="preserve">。</w:t>
      </w:r>
    </w:p>
    <w:bookmarkEnd w:id="73"/>
    <w:bookmarkEnd w:id="74"/>
    <w:bookmarkStart w:id="78" w:name="第四节-劣后债权人程序性权利的保障"/>
    <w:p>
      <w:pPr>
        <w:pStyle w:val="Heading3"/>
      </w:pPr>
      <w:r>
        <w:t xml:space="preserve">第四节 劣后债权人程序性权利的保障</w:t>
      </w:r>
    </w:p>
    <w:bookmarkStart w:id="75" w:name="一债权申报权"/>
    <w:p>
      <w:pPr>
        <w:pStyle w:val="Heading4"/>
      </w:pPr>
      <w:r>
        <w:t xml:space="preserve">一、债权申报权</w:t>
      </w:r>
    </w:p>
    <w:p>
      <w:pPr>
        <w:pStyle w:val="FirstParagraph"/>
      </w:pPr>
      <w:r>
        <w:t xml:space="preserve">劣后债权人应当享有依法申报债权的权利。但可以借鉴德国法的做法，在操作层面上作出适当调整：在管理人初步评估认为破产财产不足以清偿普通债权的情况下，可以暂缓通知劣后债权人申报债权；在后续程序中如果发现财产增加或可能有剩余时，再行通知。这一安排既节约了程序成本，又不剥夺劣后债权人的实体权利。</w:t>
      </w:r>
    </w:p>
    <w:bookmarkEnd w:id="75"/>
    <w:bookmarkStart w:id="76" w:name="二知情权与异议权"/>
    <w:p>
      <w:pPr>
        <w:pStyle w:val="Heading4"/>
      </w:pPr>
      <w:r>
        <w:t xml:space="preserve">二、知情权与异议权</w:t>
      </w:r>
    </w:p>
    <w:p>
      <w:pPr>
        <w:pStyle w:val="FirstParagraph"/>
      </w:pPr>
      <w:r>
        <w:t xml:space="preserve">劣后债权人应当享有了解破产程序进展的知情权，以及对管理人将其债权认定为劣后清偿的决定提出异议的权利。异议应由人民法院进行裁定。</w:t>
      </w:r>
    </w:p>
    <w:bookmarkEnd w:id="76"/>
    <w:bookmarkStart w:id="77" w:name="三表决权"/>
    <w:p>
      <w:pPr>
        <w:pStyle w:val="Heading4"/>
      </w:pPr>
      <w:r>
        <w:t xml:space="preserve">三、表决权</w:t>
      </w:r>
    </w:p>
    <w:p>
      <w:pPr>
        <w:pStyle w:val="FirstParagraph"/>
      </w:pPr>
      <w:r>
        <w:t xml:space="preserve">建议采取附条件的表决权方案：原则上劣后债权人不参与债权人会议的一般表决事项，但在以下情况下享有表决权：（1）破产管理人评估认为破产财产可能足以覆盖劣后债权的；（2）重整计划中对劣后债权的清偿方案直接涉及劣后债权人利益的；（3）其他经人民法院认为劣后债权人有必要参与表决的事项。</w:t>
      </w:r>
    </w:p>
    <w:p>
      <w:r>
        <w:pict>
          <v:rect style="width:0;height:1.5pt" o:hralign="center" o:hrstd="t" o:hr="t"/>
        </w:pict>
      </w:r>
    </w:p>
    <w:bookmarkEnd w:id="77"/>
    <w:bookmarkEnd w:id="78"/>
    <w:bookmarkEnd w:id="79"/>
    <w:bookmarkStart w:id="80" w:name="结论"/>
    <w:p>
      <w:pPr>
        <w:pStyle w:val="Heading2"/>
      </w:pPr>
      <w:r>
        <w:t xml:space="preserve">结论</w:t>
      </w:r>
    </w:p>
    <w:p>
      <w:pPr>
        <w:pStyle w:val="FirstParagraph"/>
      </w:pPr>
      <w:r>
        <w:t xml:space="preserve">惩罚性债权在破产程序中的劣后清偿，是破产法公平受偿原则在债权分层领域的重要体现。通过本文的研究，可以得出以下结论：</w:t>
      </w:r>
    </w:p>
    <w:p>
      <w:pPr>
        <w:pStyle w:val="BodyText"/>
      </w:pPr>
      <w:r>
        <w:rPr>
          <w:bCs/>
          <w:b/>
        </w:rPr>
        <w:t xml:space="preserve">第一，惩罚性债权劣后清偿具有坚实的理论正当性。</w:t>
      </w:r>
      <w:r>
        <w:t xml:space="preserve"> </w:t>
      </w:r>
      <w:r>
        <w:t xml:space="preserve">在破产程序的概括清偿框架下，若将惩罚性债权与补偿性债权同等对待，实质上是将对债务人的惩罚成本转嫁给其他无辜的普通债权人，违背了公平受偿原则和补偿优先于惩罚的价值位阶。破产法的社会本位属性和概括清偿机理，为惩罚性债权的顺位后置提供了制度逻辑上的支撑。</w:t>
      </w:r>
    </w:p>
    <w:p>
      <w:pPr>
        <w:pStyle w:val="BodyText"/>
      </w:pPr>
      <w:r>
        <w:rPr>
          <w:bCs/>
          <w:b/>
        </w:rPr>
        <w:t xml:space="preserve">第二，比较法经验为我国制度构建提供了有益参照。</w:t>
      </w:r>
      <w:r>
        <w:t xml:space="preserve"> </w:t>
      </w:r>
      <w:r>
        <w:t xml:space="preserve">美国的衡平居次原则以其灵活性见长，德国和日本的法定列举模式以其确定性取胜。考虑到我国的法律传统和司法现状，宜采取”法定列举为主、司法裁量为辅”的混合路径，在确保法律适用统一性的同时预留必要的弹性空间。</w:t>
      </w:r>
    </w:p>
    <w:p>
      <w:pPr>
        <w:pStyle w:val="BodyText"/>
      </w:pPr>
      <w:r>
        <w:rPr>
          <w:bCs/>
          <w:b/>
        </w:rPr>
        <w:t xml:space="preserve">第三，我国现行制度存在明显的立法空白和规范冲突。</w:t>
      </w:r>
      <w:r>
        <w:t xml:space="preserve"> </w:t>
      </w:r>
      <w:r>
        <w:t xml:space="preserve">现行《企业破产法》对劣后债权未作规定，《破产审判纪要》虽然确立了基本原则但效力层级不足，加之与2002年司法解释之间的冲突，导致司法实践中缺乏统一的裁判标准。</w:t>
      </w:r>
    </w:p>
    <w:p>
      <w:pPr>
        <w:pStyle w:val="BodyText"/>
      </w:pPr>
      <w:r>
        <w:rPr>
          <w:bCs/>
          <w:b/>
        </w:rPr>
        <w:t xml:space="preserve">第四，《企业破产法（修订草案）》第162条的出台标志着重要进步，但仍有完善空间。</w:t>
      </w:r>
      <w:r>
        <w:t xml:space="preserve"> </w:t>
      </w:r>
      <w:r>
        <w:t xml:space="preserve">建议在最终立法中进一步明确：惩罚性债权的具体类型和认定标准；补偿性部分与惩罚性部分的分割处理方案；惩罚性债权内部的分层清偿顺序；以及劣后债权人的程序性权利保障机制。</w:t>
      </w:r>
    </w:p>
    <w:p>
      <w:pPr>
        <w:pStyle w:val="BodyText"/>
      </w:pPr>
      <w:r>
        <w:rPr>
          <w:bCs/>
          <w:b/>
        </w:rPr>
        <w:t xml:space="preserve">第五，惩罚性债权的精细化分类是制度成熟的关键方向。</w:t>
      </w:r>
      <w:r>
        <w:t xml:space="preserve"> </w:t>
      </w:r>
      <w:r>
        <w:t xml:space="preserve">应当区分纯粹惩罚性债权与兼具补偿功能的惩罚性债权，对后者进行分割处理，以实现更为精细化的利益平衡。同时，惩罚性债权内部应当建立层级清偿体系，遵循”私法优先于公法、补偿功能优先于纯粹惩罚功能”的基本原则。</w:t>
      </w:r>
    </w:p>
    <w:p>
      <w:pPr>
        <w:pStyle w:val="BodyText"/>
      </w:pPr>
      <w:r>
        <w:t xml:space="preserve">破产法作为市场经济退出机制的核心制度，其对债权清偿顺位的安排不仅是一个技术性问题，更是法律如何在效率与公平之间寻求平衡的价值选择。惩罚性债权劣后制度的建立和完善，将有助于构建一个更加公平、透明和可预期的破产债权分配体系，对于保护债权人利益、维护市场交易秩序和促进社会经济的健康发展，具有重要的理论意义与实践价值。</w:t>
      </w:r>
    </w:p>
    <w:p>
      <w:r>
        <w:pict>
          <v:rect style="width:0;height:1.5pt" o:hralign="center" o:hrstd="t" o:hr="t"/>
        </w:pict>
      </w:r>
    </w:p>
    <w:bookmarkEnd w:id="80"/>
    <w:bookmarkStart w:id="89" w:name="参考文献"/>
    <w:p>
      <w:pPr>
        <w:pStyle w:val="Heading2"/>
      </w:pPr>
      <w:r>
        <w:t xml:space="preserve">参考文献</w:t>
      </w:r>
    </w:p>
    <w:bookmarkStart w:id="84" w:name="一中文文献"/>
    <w:p>
      <w:pPr>
        <w:pStyle w:val="Heading3"/>
      </w:pPr>
      <w:r>
        <w:t xml:space="preserve">一、中文文献</w:t>
      </w:r>
    </w:p>
    <w:bookmarkStart w:id="81" w:name="一著作类"/>
    <w:p>
      <w:pPr>
        <w:pStyle w:val="Heading4"/>
      </w:pPr>
      <w:r>
        <w:t xml:space="preserve">（一）著作类</w:t>
      </w:r>
    </w:p>
    <w:p>
      <w:pPr>
        <w:numPr>
          <w:ilvl w:val="0"/>
          <w:numId w:val="1007"/>
        </w:numPr>
        <w:pStyle w:val="Compact"/>
      </w:pPr>
      <w:r>
        <w:t xml:space="preserve">王欣新：《破产法》（第四版），中国人民大学出版社2019年版。</w:t>
      </w:r>
    </w:p>
    <w:p>
      <w:pPr>
        <w:numPr>
          <w:ilvl w:val="0"/>
          <w:numId w:val="1007"/>
        </w:numPr>
        <w:pStyle w:val="Compact"/>
      </w:pPr>
      <w:r>
        <w:t xml:space="preserve">李永军：《破产法律制度》，中国法制出版社2000年版。</w:t>
      </w:r>
    </w:p>
    <w:p>
      <w:pPr>
        <w:numPr>
          <w:ilvl w:val="0"/>
          <w:numId w:val="1007"/>
        </w:numPr>
        <w:pStyle w:val="Compact"/>
      </w:pPr>
      <w:r>
        <w:t xml:space="preserve">齐明：《破产法》，北京大学出版社2016年版。</w:t>
      </w:r>
    </w:p>
    <w:p>
      <w:pPr>
        <w:numPr>
          <w:ilvl w:val="0"/>
          <w:numId w:val="1007"/>
        </w:numPr>
        <w:pStyle w:val="Compact"/>
      </w:pPr>
      <w:r>
        <w:t xml:space="preserve">许德风：《破产法论：解释与功能比较的视角》，北京大学出版社2015年版。</w:t>
      </w:r>
    </w:p>
    <w:p>
      <w:pPr>
        <w:numPr>
          <w:ilvl w:val="0"/>
          <w:numId w:val="1007"/>
        </w:numPr>
        <w:pStyle w:val="Compact"/>
      </w:pPr>
      <w:r>
        <w:t xml:space="preserve">韩长印主编：《破产法学》，中国政法大学出版社2016年版。</w:t>
      </w:r>
    </w:p>
    <w:bookmarkEnd w:id="81"/>
    <w:bookmarkStart w:id="82" w:name="二论文类"/>
    <w:p>
      <w:pPr>
        <w:pStyle w:val="Heading4"/>
      </w:pPr>
      <w:r>
        <w:t xml:space="preserve">（二）论文类</w:t>
      </w:r>
    </w:p>
    <w:p>
      <w:pPr>
        <w:numPr>
          <w:ilvl w:val="0"/>
          <w:numId w:val="1008"/>
        </w:numPr>
        <w:pStyle w:val="Compact"/>
      </w:pPr>
      <w:r>
        <w:t xml:space="preserve">韩玥：《破产劣后债权的类型化区分与立法完善》，载《法学家》2024年第3期。</w:t>
      </w:r>
    </w:p>
    <w:p>
      <w:pPr>
        <w:numPr>
          <w:ilvl w:val="0"/>
          <w:numId w:val="1008"/>
        </w:numPr>
        <w:pStyle w:val="Compact"/>
      </w:pPr>
      <w:r>
        <w:t xml:space="preserve">贺丹：《破产劣后债权的范畴界定与体系建构》，载《西南政法大学学报》2024年第5期。</w:t>
      </w:r>
    </w:p>
    <w:p>
      <w:pPr>
        <w:numPr>
          <w:ilvl w:val="0"/>
          <w:numId w:val="1008"/>
        </w:numPr>
        <w:pStyle w:val="Compact"/>
      </w:pPr>
      <w:r>
        <w:t xml:space="preserve">丁燕：《破产法设置劣后债权的问题研究》，载《法律科学》2019年第2期。</w:t>
      </w:r>
    </w:p>
    <w:p>
      <w:pPr>
        <w:numPr>
          <w:ilvl w:val="0"/>
          <w:numId w:val="1008"/>
        </w:numPr>
        <w:pStyle w:val="Compact"/>
      </w:pPr>
      <w:r>
        <w:t xml:space="preserve">王欣新：《论破产程序中劣后债权的清偿》，载《法学杂志》2019年第6期。</w:t>
      </w:r>
    </w:p>
    <w:p>
      <w:pPr>
        <w:numPr>
          <w:ilvl w:val="0"/>
          <w:numId w:val="1008"/>
        </w:numPr>
        <w:pStyle w:val="Compact"/>
      </w:pPr>
      <w:r>
        <w:t xml:space="preserve">徐阳光：《破产程序中惩罚性赔偿金的清偿顺位研究》，载《中国法学》2020年第4期。</w:t>
      </w:r>
    </w:p>
    <w:p>
      <w:pPr>
        <w:numPr>
          <w:ilvl w:val="0"/>
          <w:numId w:val="1008"/>
        </w:numPr>
        <w:pStyle w:val="Compact"/>
      </w:pPr>
      <w:r>
        <w:t xml:space="preserve">朱慈蕴：《公司法人格否认法理与衡平居次原则》，载《清华法学》2012年第1期。</w:t>
      </w:r>
    </w:p>
    <w:p>
      <w:pPr>
        <w:numPr>
          <w:ilvl w:val="0"/>
          <w:numId w:val="1008"/>
        </w:numPr>
        <w:pStyle w:val="Compact"/>
      </w:pPr>
      <w:r>
        <w:t xml:space="preserve">张钦昱：《论深石原则在我国的适用》，载《法学》2014年第9期。</w:t>
      </w:r>
    </w:p>
    <w:bookmarkEnd w:id="82"/>
    <w:bookmarkStart w:id="83" w:name="三规范性文件"/>
    <w:p>
      <w:pPr>
        <w:pStyle w:val="Heading4"/>
      </w:pPr>
      <w:r>
        <w:t xml:space="preserve">（三）规范性文件</w:t>
      </w:r>
    </w:p>
    <w:p>
      <w:pPr>
        <w:numPr>
          <w:ilvl w:val="0"/>
          <w:numId w:val="1009"/>
        </w:numPr>
        <w:pStyle w:val="Compact"/>
      </w:pPr>
      <w:r>
        <w:t xml:space="preserve">《中华人民共和国企业破产法》（2006年）。</w:t>
      </w:r>
    </w:p>
    <w:p>
      <w:pPr>
        <w:numPr>
          <w:ilvl w:val="0"/>
          <w:numId w:val="1009"/>
        </w:numPr>
        <w:pStyle w:val="Compact"/>
      </w:pPr>
      <w:r>
        <w:t xml:space="preserve">最高人民法院《全国法院破产审判工作会议纪要》（法〔2018〕53号）。</w:t>
      </w:r>
    </w:p>
    <w:p>
      <w:pPr>
        <w:numPr>
          <w:ilvl w:val="0"/>
          <w:numId w:val="1009"/>
        </w:numPr>
        <w:pStyle w:val="Compact"/>
      </w:pPr>
      <w:r>
        <w:t xml:space="preserve">最高人民法院《关于审理企业破产案件若干问题的规定》（法释〔2002〕23号）。</w:t>
      </w:r>
    </w:p>
    <w:p>
      <w:pPr>
        <w:numPr>
          <w:ilvl w:val="0"/>
          <w:numId w:val="1009"/>
        </w:numPr>
        <w:pStyle w:val="Compact"/>
      </w:pPr>
      <w:r>
        <w:t xml:space="preserve">《中华人民共和国企业破产法（修订草案）》（2025年征求意见稿）。</w:t>
      </w:r>
    </w:p>
    <w:p>
      <w:pPr>
        <w:numPr>
          <w:ilvl w:val="0"/>
          <w:numId w:val="1009"/>
        </w:numPr>
        <w:pStyle w:val="Compact"/>
      </w:pPr>
      <w:r>
        <w:t xml:space="preserve">《深圳经济特区个人破产条例》（2021年）。</w:t>
      </w:r>
    </w:p>
    <w:bookmarkEnd w:id="83"/>
    <w:bookmarkEnd w:id="84"/>
    <w:bookmarkStart w:id="88" w:name="二外文文献"/>
    <w:p>
      <w:pPr>
        <w:pStyle w:val="Heading3"/>
      </w:pPr>
      <w:r>
        <w:t xml:space="preserve">二、外文文献</w:t>
      </w:r>
    </w:p>
    <w:bookmarkStart w:id="85" w:name="一英文文献"/>
    <w:p>
      <w:pPr>
        <w:pStyle w:val="Heading4"/>
      </w:pPr>
      <w:r>
        <w:t xml:space="preserve">（一）英文文献</w:t>
      </w:r>
    </w:p>
    <w:p>
      <w:pPr>
        <w:numPr>
          <w:ilvl w:val="0"/>
          <w:numId w:val="1010"/>
        </w:numPr>
        <w:pStyle w:val="Compact"/>
      </w:pPr>
      <w:r>
        <w:t xml:space="preserve">Charles Jordan Tabb,</w:t>
      </w:r>
      <w:r>
        <w:t xml:space="preserve"> </w:t>
      </w:r>
      <w:r>
        <w:rPr>
          <w:iCs/>
          <w:i/>
        </w:rPr>
        <w:t xml:space="preserve">The Law of Bankruptcy</w:t>
      </w:r>
      <w:r>
        <w:t xml:space="preserve"> </w:t>
      </w:r>
      <w:r>
        <w:t xml:space="preserve">(4th ed., Foundation Press 2016).</w:t>
      </w:r>
    </w:p>
    <w:p>
      <w:pPr>
        <w:numPr>
          <w:ilvl w:val="0"/>
          <w:numId w:val="1010"/>
        </w:numPr>
        <w:pStyle w:val="Compact"/>
      </w:pPr>
      <w:r>
        <w:t xml:space="preserve">David G. Epstein, Steve H. Nickles &amp; James J. White,</w:t>
      </w:r>
      <w:r>
        <w:t xml:space="preserve"> </w:t>
      </w:r>
      <w:r>
        <w:rPr>
          <w:iCs/>
          <w:i/>
        </w:rPr>
        <w:t xml:space="preserve">Bankruptcy</w:t>
      </w:r>
      <w:r>
        <w:t xml:space="preserve"> </w:t>
      </w:r>
      <w:r>
        <w:t xml:space="preserve">(West Academic Publishing 1993).</w:t>
      </w:r>
    </w:p>
    <w:p>
      <w:pPr>
        <w:numPr>
          <w:ilvl w:val="0"/>
          <w:numId w:val="1010"/>
        </w:numPr>
        <w:pStyle w:val="Compact"/>
      </w:pPr>
      <w:r>
        <w:t xml:space="preserve">Andrew DeNatale &amp; Prudence B. Abram,</w:t>
      </w:r>
      <w:r>
        <w:t xml:space="preserve"> </w:t>
      </w:r>
      <w:r>
        <w:rPr>
          <w:iCs/>
          <w:i/>
        </w:rPr>
        <w:t xml:space="preserve">The Doctrine of Equitable Subordination as Applied to Nonmanagement Creditors</w:t>
      </w:r>
      <w:r>
        <w:t xml:space="preserve">, 40 Bus. Law. 417 (1985).</w:t>
      </w:r>
    </w:p>
    <w:p>
      <w:pPr>
        <w:numPr>
          <w:ilvl w:val="0"/>
          <w:numId w:val="1010"/>
        </w:numPr>
        <w:pStyle w:val="Compact"/>
      </w:pPr>
      <w:r>
        <w:t xml:space="preserve">David R. Carlson,</w:t>
      </w:r>
      <w:r>
        <w:t xml:space="preserve"> </w:t>
      </w:r>
      <w:r>
        <w:rPr>
          <w:iCs/>
          <w:i/>
        </w:rPr>
        <w:t xml:space="preserve">The Logical Structure of Fraudulent Transfers and Equitable Subordination</w:t>
      </w:r>
      <w:r>
        <w:t xml:space="preserve">, 45 Wm. &amp; Mary L. Rev. 157 (2003).</w:t>
      </w:r>
    </w:p>
    <w:bookmarkEnd w:id="85"/>
    <w:bookmarkStart w:id="86" w:name="二德文文献"/>
    <w:p>
      <w:pPr>
        <w:pStyle w:val="Heading4"/>
      </w:pPr>
      <w:r>
        <w:t xml:space="preserve">（二）德文文献</w:t>
      </w:r>
    </w:p>
    <w:p>
      <w:pPr>
        <w:numPr>
          <w:ilvl w:val="0"/>
          <w:numId w:val="1011"/>
        </w:numPr>
        <w:pStyle w:val="Compact"/>
      </w:pPr>
      <w:r>
        <w:t xml:space="preserve">Karsten Schmidt,</w:t>
      </w:r>
      <w:r>
        <w:t xml:space="preserve"> </w:t>
      </w:r>
      <w:r>
        <w:rPr>
          <w:iCs/>
          <w:i/>
        </w:rPr>
        <w:t xml:space="preserve">Insolvenzordnung: InsO mit EuInsVO</w:t>
      </w:r>
      <w:r>
        <w:t xml:space="preserve"> </w:t>
      </w:r>
      <w:r>
        <w:t xml:space="preserve">(19. Aufl., C.H. Beck 2016).</w:t>
      </w:r>
    </w:p>
    <w:p>
      <w:pPr>
        <w:numPr>
          <w:ilvl w:val="0"/>
          <w:numId w:val="1011"/>
        </w:numPr>
        <w:pStyle w:val="Compact"/>
      </w:pPr>
      <w:r>
        <w:t xml:space="preserve">Peter Gottwald (Hrsg.),</w:t>
      </w:r>
      <w:r>
        <w:t xml:space="preserve"> </w:t>
      </w:r>
      <w:r>
        <w:rPr>
          <w:iCs/>
          <w:i/>
        </w:rPr>
        <w:t xml:space="preserve">Insolvenzrechts-Handbuch</w:t>
      </w:r>
      <w:r>
        <w:t xml:space="preserve"> </w:t>
      </w:r>
      <w:r>
        <w:t xml:space="preserve">(6. Aufl., C.H. Beck 2020).</w:t>
      </w:r>
    </w:p>
    <w:bookmarkEnd w:id="86"/>
    <w:bookmarkStart w:id="87" w:name="三日文文献"/>
    <w:p>
      <w:pPr>
        <w:pStyle w:val="Heading4"/>
      </w:pPr>
      <w:r>
        <w:t xml:space="preserve">（三）日文文献</w:t>
      </w:r>
    </w:p>
    <w:p>
      <w:pPr>
        <w:numPr>
          <w:ilvl w:val="0"/>
          <w:numId w:val="1012"/>
        </w:numPr>
        <w:pStyle w:val="Compact"/>
      </w:pPr>
      <w:r>
        <w:t xml:space="preserve">伊藤眞：《破産法・民事再生法》（第4版），有斐閣2018年。</w:t>
      </w:r>
    </w:p>
    <w:p>
      <w:pPr>
        <w:numPr>
          <w:ilvl w:val="0"/>
          <w:numId w:val="1012"/>
        </w:numPr>
        <w:pStyle w:val="Compact"/>
      </w:pPr>
      <w:r>
        <w:t xml:space="preserve">山本和彦等：《倒産法概説》（第2版補訂版），弘文堂2015年。</w:t>
      </w:r>
    </w:p>
    <w:p>
      <w:r>
        <w:pict>
          <v:rect style="width:0;height:1.5pt" o:hralign="center" o:hrstd="t" o:hr="t"/>
        </w:pict>
      </w:r>
    </w:p>
    <w:p>
      <w:pPr>
        <w:pStyle w:val="FirstParagraph"/>
      </w:pPr>
      <w:r>
        <w:rPr>
          <w:iCs/>
          <w:i/>
        </w:rPr>
        <w:t xml:space="preserve">本文完</w:t>
      </w:r>
    </w:p>
    <w:bookmarkEnd w:id="87"/>
    <w:bookmarkEnd w:id="88"/>
    <w:bookmarkEnd w:id="89"/>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8">
    <w:nsid w:val="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2">
    <w:nsid w:val="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4">
    <w:nsid w:val="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0">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1">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2">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2026-04-27T09:34:01Z</dcterms:created>
  <dcterms:modified xsi:type="dcterms:W3CDTF">2026-04-27T09:34:01Z</dcterms:modified>
</cp:coreProperties>
</file>

<file path=docProps/custom.xml><?xml version="1.0" encoding="utf-8"?>
<Properties xmlns="http://schemas.openxmlformats.org/officeDocument/2006/custom-properties" xmlns:vt="http://schemas.openxmlformats.org/officeDocument/2006/docPropsVTypes"/>
</file>