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Handling Procedure</w:t>
      </w:r>
    </w:p>
    <w:p>
      <w:r>
        <w:t>Document Version: 1.0 | Effective Date: 17 August 2026</w:t>
      </w:r>
    </w:p>
    <w:p>
      <w:pPr>
        <w:pStyle w:val="Heading1"/>
      </w:pPr>
      <w:r>
        <w:t>1. Purpose</w:t>
      </w:r>
    </w:p>
    <w:p>
      <w:r>
        <w:t>This procedure provides a simple workflow for identifying, reviewing, documenting, and resolving potentially fraudulent transactions.</w:t>
      </w:r>
    </w:p>
    <w:p>
      <w:pPr>
        <w:pStyle w:val="Heading1"/>
      </w:pPr>
      <w:r>
        <w:t>2. Fraud Indicators</w:t>
      </w:r>
    </w:p>
    <w:p>
      <w:pPr>
        <w:pStyle w:val="ListBullet"/>
      </w:pPr>
      <w:r>
        <w:t>Multiple transactions using unusual payment patterns.</w:t>
      </w:r>
    </w:p>
    <w:p>
      <w:pPr>
        <w:pStyle w:val="ListBullet"/>
      </w:pPr>
      <w:r>
        <w:t>Repeated failed payment attempts followed by a successful transaction.</w:t>
      </w:r>
    </w:p>
    <w:p>
      <w:pPr>
        <w:pStyle w:val="ListBullet"/>
      </w:pPr>
      <w:r>
        <w:t>Unexpected changes to customer or payment information.</w:t>
      </w:r>
    </w:p>
    <w:p>
      <w:pPr>
        <w:pStyle w:val="ListBullet"/>
      </w:pPr>
      <w:r>
        <w:t>Transactions that do not match the customer's normal activity.</w:t>
      </w:r>
    </w:p>
    <w:p>
      <w:pPr>
        <w:pStyle w:val="Heading1"/>
      </w:pPr>
      <w:r>
        <w:t>3. Handling Steps</w:t>
      </w:r>
    </w:p>
    <w:p>
      <w:r>
        <w:rPr>
          <w:b/>
        </w:rPr>
        <w:t xml:space="preserve">Detect: </w:t>
      </w:r>
      <w:r>
        <w:t>Flag the transaction using system alerts or manual review.</w:t>
      </w:r>
    </w:p>
    <w:p>
      <w:r>
        <w:rPr>
          <w:b/>
        </w:rPr>
        <w:t xml:space="preserve">Review: </w:t>
      </w:r>
      <w:r>
        <w:t>Check transaction details, account history, timestamps, and supporting evidence.</w:t>
      </w:r>
    </w:p>
    <w:p>
      <w:r>
        <w:rPr>
          <w:b/>
        </w:rPr>
        <w:t xml:space="preserve">Restrict: </w:t>
      </w:r>
      <w:r>
        <w:t>If necessary, temporarily hold the transaction while the investigation is ongoing.</w:t>
      </w:r>
    </w:p>
    <w:p>
      <w:r>
        <w:rPr>
          <w:b/>
        </w:rPr>
        <w:t xml:space="preserve">Escalate: </w:t>
      </w:r>
      <w:r>
        <w:t>Send suspicious or high-risk cases to the responsible fraud/risk team.</w:t>
      </w:r>
    </w:p>
    <w:p>
      <w:r>
        <w:rPr>
          <w:b/>
        </w:rPr>
        <w:t xml:space="preserve">Resolve: </w:t>
      </w:r>
      <w:r>
        <w:t>Approve, reject, refund, or release the transaction based on the investigation.</w:t>
      </w:r>
    </w:p>
    <w:p>
      <w:r>
        <w:rPr>
          <w:b/>
        </w:rPr>
        <w:t xml:space="preserve">Record: </w:t>
      </w:r>
      <w:r>
        <w:t>Document the decision, evidence reviewed, and action taken.</w:t>
      </w:r>
    </w:p>
    <w:p>
      <w:pPr>
        <w:pStyle w:val="Heading1"/>
      </w:pPr>
      <w:r>
        <w:t>4. Example Case</w:t>
      </w:r>
    </w:p>
    <w:p>
      <w:r>
        <w:t>Transaction TXN-20260817-003 was flagged after several failed payment attempts followed by a successful payment from a new device. The transaction should be reviewed, supporting evidence collected, and escalated if the activity cannot be verified.</w:t>
      </w:r>
    </w:p>
    <w:p>
      <w:pPr>
        <w:pStyle w:val="Heading1"/>
      </w:pPr>
      <w:r>
        <w:t>5. Important Note</w:t>
      </w:r>
    </w:p>
    <w:p>
      <w:r>
        <w:t>Staff should avoid making assumptions based only on a single indicator. A transaction should be assessed using the available evidence and the organization's fraud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