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Device and Browser Verification Guide (Internal)</w:t>
      </w:r>
      <w:bookmarkEnd w:id="0"/>
    </w:p>
    <w:p>
      <w:pPr/>
      <w:r>
        <w:rPr/>
        <w:t xml:space="preserve">Document Version: 1.0 | Effective Date: 20 August 2026 | Access: Manager</w:t>
      </w:r>
    </w:p>
    <w:p>
      <w:bookmarkStart w:id="1" w:name="_Toc1"/>
      <w:r>
        <w:t>1. Purpose</w:t>
      </w:r>
      <w:bookmarkEnd w:id="1"/>
    </w:p>
    <w:p>
      <w:pPr/>
      <w:r>
        <w:rPr/>
        <w:t xml:space="preserve">Internal reference for evaluating device fingerprint and browser session signals during account takeover review. Distribution is limited to management to avoid publicizing the exact detection thresholds used.</w:t>
      </w:r>
    </w:p>
    <w:p>
      <w:bookmarkStart w:id="2" w:name="_Toc2"/>
      <w:r>
        <w:t>2. Signals Reviewed</w:t>
      </w:r>
      <w:bookmarkEnd w:id="2"/>
    </w:p>
    <w:p>
      <w:pPr>
        <w:numPr>
          <w:ilvl w:val="0"/>
          <w:numId w:val="1"/>
        </w:numPr>
      </w:pPr>
      <w:r>
        <w:rPr/>
        <w:t xml:space="preserve">Device ID mismatch against the account's known device history.</w:t>
      </w:r>
    </w:p>
    <w:p>
      <w:pPr>
        <w:numPr>
          <w:ilvl w:val="0"/>
          <w:numId w:val="1"/>
        </w:numPr>
      </w:pPr>
      <w:r>
        <w:rPr/>
        <w:t xml:space="preserve">Browser or user-agent change within the same session.</w:t>
      </w:r>
    </w:p>
    <w:p>
      <w:pPr>
        <w:numPr>
          <w:ilvl w:val="0"/>
          <w:numId w:val="1"/>
        </w:numPr>
      </w:pPr>
      <w:r>
        <w:rPr/>
        <w:t xml:space="preserve">IP geolocation inconsistent with the account's recent activity.</w:t>
      </w:r>
    </w:p>
    <w:p>
      <w:pPr>
        <w:numPr>
          <w:ilvl w:val="0"/>
          <w:numId w:val="1"/>
        </w:numPr>
      </w:pPr>
      <w:r>
        <w:rPr/>
        <w:t xml:space="preserve">Session token reuse across two different device fingerprints.</w:t>
      </w:r>
    </w:p>
    <w:p>
      <w:bookmarkStart w:id="3" w:name="_Toc3"/>
      <w:r>
        <w:t>3. Escalation Thresholds</w:t>
      </w:r>
      <w:bookmarkEnd w:id="3"/>
    </w:p>
    <w:p>
      <w:pPr>
        <w:numPr>
          <w:ilvl w:val="0"/>
          <w:numId w:val="1"/>
        </w:numPr>
      </w:pPr>
      <w:r>
        <w:rPr/>
        <w:t xml:space="preserve">One new signal: log only, no action required.</w:t>
      </w:r>
    </w:p>
    <w:p>
      <w:pPr>
        <w:numPr>
          <w:ilvl w:val="0"/>
          <w:numId w:val="1"/>
        </w:numPr>
      </w:pPr>
      <w:r>
        <w:rPr/>
        <w:t xml:space="preserve">Two new signals within the same session: require step-up verification (OTP).</w:t>
      </w:r>
    </w:p>
    <w:p>
      <w:pPr>
        <w:numPr>
          <w:ilvl w:val="0"/>
          <w:numId w:val="1"/>
        </w:numPr>
      </w:pPr>
      <w:r>
        <w:rPr/>
        <w:t xml:space="preserve">Three or more new signals combined with a high-value action: auto-hold and escalate to Account Security.</w:t>
      </w:r>
    </w:p>
    <w:p>
      <w:bookmarkStart w:id="4" w:name="_Toc4"/>
      <w:r>
        <w:t>4. Handling Note</w:t>
      </w:r>
      <w:bookmarkEnd w:id="4"/>
    </w:p>
    <w:p>
      <w:pPr/>
      <w:r>
        <w:rPr/>
        <w:t xml:space="preserve">These thresholds are intentionally not shared with front-line staff scripts or customer-facing material, since detailed knowledge of the exact trigger counts could be used to stay under them.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F04DBA56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2026-08-20T15:32:28+00:00</dcterms:created>
  <dcterms:modified xsi:type="dcterms:W3CDTF">2026-08-20T15:32:28+00:00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