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Chargeback Handling Procedure</w:t>
      </w:r>
      <w:bookmarkEnd w:id="0"/>
    </w:p>
    <w:p>
      <w:pPr/>
      <w:r>
        <w:rPr/>
        <w:t xml:space="preserve">Document Version: 1.0 | Effective Date: 20 August 2026</w:t>
      </w:r>
    </w:p>
    <w:p>
      <w:bookmarkStart w:id="1" w:name="_Toc1"/>
      <w:r>
        <w:t>1. Purpose</w:t>
      </w:r>
      <w:bookmarkEnd w:id="1"/>
    </w:p>
    <w:p>
      <w:pPr/>
      <w:r>
        <w:rPr/>
        <w:t xml:space="preserve">This procedure explains how to respond when a customer disputes a completed transaction through their card issuer (a chargeback), as distinct from a direct refund request made to us.</w:t>
      </w:r>
    </w:p>
    <w:p>
      <w:bookmarkStart w:id="2" w:name="_Toc2"/>
      <w:r>
        <w:t>2. When a Chargeback Applies</w:t>
      </w:r>
      <w:bookmarkEnd w:id="2"/>
    </w:p>
    <w:p>
      <w:pPr>
        <w:numPr>
          <w:ilvl w:val="0"/>
          <w:numId w:val="1"/>
        </w:numPr>
      </w:pPr>
      <w:r>
        <w:rPr/>
        <w:t xml:space="preserve">The customer disputes a charge directly with their bank rather than contacting support first.</w:t>
      </w:r>
    </w:p>
    <w:p>
      <w:pPr>
        <w:numPr>
          <w:ilvl w:val="0"/>
          <w:numId w:val="1"/>
        </w:numPr>
      </w:pPr>
      <w:r>
        <w:rPr/>
        <w:t xml:space="preserve">The dispute is filed after a transaction has already completed and settled.</w:t>
      </w:r>
    </w:p>
    <w:p>
      <w:pPr>
        <w:numPr>
          <w:ilvl w:val="0"/>
          <w:numId w:val="1"/>
        </w:numPr>
      </w:pPr>
      <w:r>
        <w:rPr/>
        <w:t xml:space="preserve">The customer claims the service was not delivered, or does not recognize the charge.</w:t>
      </w:r>
    </w:p>
    <w:p>
      <w:bookmarkStart w:id="3" w:name="_Toc3"/>
      <w:r>
        <w:t>3. Handling Steps</w:t>
      </w:r>
      <w:bookmarkEnd w:id="3"/>
    </w:p>
    <w:p>
      <w:pPr>
        <w:numPr>
          <w:ilvl w:val="0"/>
          <w:numId w:val="1"/>
        </w:numPr>
      </w:pPr>
      <w:r>
        <w:rPr/>
        <w:t xml:space="preserve">Verify: Confirm the transaction exists and check delivery/usage records.</w:t>
      </w:r>
    </w:p>
    <w:p>
      <w:pPr>
        <w:numPr>
          <w:ilvl w:val="0"/>
          <w:numId w:val="1"/>
        </w:numPr>
      </w:pPr>
      <w:r>
        <w:rPr/>
        <w:t xml:space="preserve">Gather Evidence: Collect delivery confirmation, login/usage logs, and prior support correspondence.</w:t>
      </w:r>
    </w:p>
    <w:p>
      <w:pPr>
        <w:numPr>
          <w:ilvl w:val="0"/>
          <w:numId w:val="1"/>
        </w:numPr>
      </w:pPr>
      <w:r>
        <w:rPr/>
        <w:t xml:space="preserve">Respond: Submit evidence to the card network within the issuer deadline, typically 7-14 days.</w:t>
      </w:r>
    </w:p>
    <w:p>
      <w:pPr>
        <w:numPr>
          <w:ilvl w:val="0"/>
          <w:numId w:val="1"/>
        </w:numPr>
      </w:pPr>
      <w:r>
        <w:rPr/>
        <w:t xml:space="preserve">Record: Log the chargeback outcome and evidence packet on the case file.</w:t>
      </w:r>
    </w:p>
    <w:p>
      <w:bookmarkStart w:id="4" w:name="_Toc4"/>
      <w:r>
        <w:t>4. Related Pattern</w:t>
      </w:r>
      <w:bookmarkEnd w:id="4"/>
    </w:p>
    <w:p>
      <w:pPr/>
      <w:r>
        <w:rPr/>
        <w:t xml:space="preserve">Chargebacks filed on services the customer continued using after the dispute was raised should be treated as a possible friendly-fraud pattern and cross-checked against usage logs before evidence is submitted.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FBDA1FB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2026-08-20T15:32:25+00:00</dcterms:created>
  <dcterms:modified xsi:type="dcterms:W3CDTF">2026-08-20T15:32:25+00:00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