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C3056E">
        <w:rPr>
          <w:rFonts w:ascii="Times New Roman" w:hAnsi="Times New Roman"/>
          <w:color w:val="000000"/>
          <w:spacing w:val="5"/>
        </w:rPr>
        <w:t xml:space="preserve"> Session 12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C3056E">
        <w:rPr>
          <w:rFonts w:ascii="Times New Roman" w:hAnsi="Times New Roman"/>
          <w:color w:val="000000"/>
          <w:spacing w:val="5"/>
        </w:rPr>
        <w:t>Turning Team Leaning into a Team Plan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29661F" w:rsidRPr="0029661F" w:rsidRDefault="0029661F" w:rsidP="0029661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29661F">
        <w:rPr>
          <w:rFonts w:ascii="Times New Roman" w:hAnsi="Times New Roman"/>
        </w:rPr>
        <w:t>Describe</w:t>
      </w:r>
    </w:p>
    <w:p w:rsidR="0029661F" w:rsidRPr="0029661F" w:rsidRDefault="0029661F" w:rsidP="0029661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29661F">
        <w:rPr>
          <w:rFonts w:ascii="Times New Roman" w:hAnsi="Times New Roman"/>
        </w:rPr>
        <w:t>Test</w:t>
      </w:r>
    </w:p>
    <w:p w:rsidR="009B5E7D" w:rsidRDefault="0029661F" w:rsidP="005179F4">
      <w:pPr>
        <w:pStyle w:val="ListParagraph"/>
        <w:numPr>
          <w:ilvl w:val="0"/>
          <w:numId w:val="26"/>
        </w:numPr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Apply</w:t>
      </w:r>
    </w:p>
    <w:p w:rsidR="0029661F" w:rsidRPr="0029661F" w:rsidRDefault="0029661F" w:rsidP="0029661F">
      <w:pPr>
        <w:pStyle w:val="ListParagraph"/>
        <w:contextualSpacing w:val="0"/>
        <w:rPr>
          <w:rFonts w:ascii="Times New Roman" w:hAnsi="Times New Roman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29661F">
        <w:rPr>
          <w:rFonts w:ascii="Times New Roman" w:hAnsi="Times New Roman"/>
          <w:bCs/>
          <w:spacing w:val="5"/>
        </w:rPr>
        <w:t>Yes</w:t>
      </w:r>
      <w:bookmarkStart w:id="0" w:name="_GoBack"/>
      <w:bookmarkEnd w:id="0"/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lastRenderedPageBreak/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C3056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C3056E">
              <w:rPr>
                <w:rFonts w:ascii="Times New Roman" w:hAnsi="Times New Roman"/>
                <w:color w:val="000000"/>
                <w:spacing w:val="5"/>
              </w:rPr>
              <w:t>Implementing a Team Plan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Karlin BE, &amp; Cross G. From the laboratory to the therapy room: National dissemination and implementation of evidence-based psychotherapies in the U.S. Department of Veterans Affairs Health Care System. Am Psychol. 2014;69:19–33.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Karlin BE, Brown GK, Trockel M, et al. National dissemination of cognitive behavioral therapy for depression in the department of veterans affairs health care system: Therapist and patient-level outcomes. J Consult Clin Psychol. 2012;80:707–718.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Ruzek JI, Karlin BE, &amp; Zeiss AM. Implementation of Evidence-Based Psychological Treatments in the Veterans Health Administration. In: McHugh RK, Barlow DH, eds. Dissemination of evidence-based psychological treatments. New York, NY: Oxford University Press. ,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Lin LA, Bohnert AS, Ilgen MA, et al. Outpatient provider contact prior to unintentional opioid overdose among VHA service users. Psychiatr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Harris AHS, Bowe T, Del Re AC, et al. Extended Release Naltrexone for Alcohol Use Disorders: Quasi-Experimental Effects on Mortality and Subsequent Detoxification Episodes. Alcohol Clin Exp Res. 2015;39:79–83.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Degenhardt L, Bucello C, Mathers B, et al. Mortality among regular or dependent users of heroin and other opioids: A systematic review and meta-analysis of cohort studies. Addiction. 2010;106:32–51.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Kaplan MS, Huguet N, McFarland BH, et al. Suicide among male veterans: a prospective population-based study. J Epidemiol Community Health. 2007;61:619–624.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>Desai RA, Dausey DJ, &amp; Rosenheck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Gradus JL, Suvak MK, Wisco BE, et al. Treatment of posttraumatic stress disorder reduces suicidal ideation. Depress Anxiety. 2013;30:1046–1053.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Hankin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Hoggatt KJ, Williams EC, Der-Martirosian C, et al. National prevalence and correlates of alcohol misuse in women Veterans. J Subst Abuse Treat. 2015;52:10–16.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Fulton JJ, Calhoun PS, Wagner HR, et al. The prevalence of posttraumatic stress disorder in Operation Enduring Freedom/Operation Iraqi Freedom (OEF/OIF) Veterans: A meta-analysis. J Anxiety Disord. 2015;31:98–107.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388" w:rsidRDefault="00A41388" w:rsidP="009030AE">
      <w:r>
        <w:separator/>
      </w:r>
    </w:p>
  </w:endnote>
  <w:endnote w:type="continuationSeparator" w:id="0">
    <w:p w:rsidR="00A41388" w:rsidRDefault="00A41388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388" w:rsidRDefault="00A41388" w:rsidP="009030AE">
      <w:r>
        <w:separator/>
      </w:r>
    </w:p>
  </w:footnote>
  <w:footnote w:type="continuationSeparator" w:id="0">
    <w:p w:rsidR="00A41388" w:rsidRDefault="00A41388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E2DE6"/>
    <w:rsid w:val="0013712B"/>
    <w:rsid w:val="0014227A"/>
    <w:rsid w:val="00161CB0"/>
    <w:rsid w:val="00174BCC"/>
    <w:rsid w:val="001A55FA"/>
    <w:rsid w:val="001E2718"/>
    <w:rsid w:val="001E4B47"/>
    <w:rsid w:val="001F5F57"/>
    <w:rsid w:val="00220638"/>
    <w:rsid w:val="00260687"/>
    <w:rsid w:val="0029661F"/>
    <w:rsid w:val="002C51AE"/>
    <w:rsid w:val="002E1402"/>
    <w:rsid w:val="00377714"/>
    <w:rsid w:val="00377EED"/>
    <w:rsid w:val="003D2B93"/>
    <w:rsid w:val="003F5B93"/>
    <w:rsid w:val="00401735"/>
    <w:rsid w:val="00415870"/>
    <w:rsid w:val="00426C76"/>
    <w:rsid w:val="004825B9"/>
    <w:rsid w:val="004E220A"/>
    <w:rsid w:val="005179F4"/>
    <w:rsid w:val="00545B6D"/>
    <w:rsid w:val="00581903"/>
    <w:rsid w:val="005D19FA"/>
    <w:rsid w:val="006373FF"/>
    <w:rsid w:val="00670232"/>
    <w:rsid w:val="006C5F8A"/>
    <w:rsid w:val="006D5E61"/>
    <w:rsid w:val="006F1035"/>
    <w:rsid w:val="007145EC"/>
    <w:rsid w:val="00717D3D"/>
    <w:rsid w:val="00787441"/>
    <w:rsid w:val="007B5DA3"/>
    <w:rsid w:val="007E69DA"/>
    <w:rsid w:val="00874C88"/>
    <w:rsid w:val="00875DC9"/>
    <w:rsid w:val="008A7A33"/>
    <w:rsid w:val="008C6C0B"/>
    <w:rsid w:val="009030AE"/>
    <w:rsid w:val="00910DCA"/>
    <w:rsid w:val="009B08B1"/>
    <w:rsid w:val="009B0AD8"/>
    <w:rsid w:val="009B5E7D"/>
    <w:rsid w:val="00A13598"/>
    <w:rsid w:val="00A311FB"/>
    <w:rsid w:val="00A41388"/>
    <w:rsid w:val="00A70BB9"/>
    <w:rsid w:val="00A92498"/>
    <w:rsid w:val="00A92782"/>
    <w:rsid w:val="00AB2848"/>
    <w:rsid w:val="00AB6CBD"/>
    <w:rsid w:val="00B70417"/>
    <w:rsid w:val="00C3056E"/>
    <w:rsid w:val="00C674BE"/>
    <w:rsid w:val="00C91531"/>
    <w:rsid w:val="00CA2BB9"/>
    <w:rsid w:val="00CC04C1"/>
    <w:rsid w:val="00CC7EBF"/>
    <w:rsid w:val="00D81BD6"/>
    <w:rsid w:val="00E01366"/>
    <w:rsid w:val="00F319D6"/>
    <w:rsid w:val="00F330F6"/>
    <w:rsid w:val="00F72717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805F6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BBE3-61DC-4B36-9C03-386CF40C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2</cp:revision>
  <dcterms:created xsi:type="dcterms:W3CDTF">2018-09-20T18:46:00Z</dcterms:created>
  <dcterms:modified xsi:type="dcterms:W3CDTF">2018-09-20T19:18:00Z</dcterms:modified>
</cp:coreProperties>
</file>