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25591ff8b523123c6fa19cefa918a12393f583"/>
    <w:p>
      <w:pPr>
        <w:pStyle w:val="Heading1"/>
      </w:pPr>
      <w:r>
        <w:t xml:space="preserve">MO-ALA (MS 4584712) - Supplementary Tables S1-S5 (revision, 2026-10-16)</w:t>
      </w:r>
    </w:p>
    <w:p>
      <w:pPr>
        <w:pStyle w:val="BlockText"/>
      </w:pPr>
      <w:r>
        <w:t xml:space="preserve">All numbers below are recomputed programmatically from the archived run archives (</w:t>
      </w:r>
      <w:r>
        <w:rPr>
          <w:rStyle w:val="VerbatimChar"/>
        </w:rPr>
        <w:t xml:space="preserve">terrain_paths.mat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path_feasibility_audit_1016.mat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ablation_v8_degradation_1016.mat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dim_scaling_1016.mat</w:t>
      </w:r>
      <w:r>
        <w:t xml:space="preserve">); none is transcribed by hand.</w:t>
      </w:r>
    </w:p>
    <w:bookmarkStart w:id="9" w:name="X2fb51e7b700ad9e1d199a8ad866ee8943acdd85"/>
    <w:p>
      <w:pPr>
        <w:pStyle w:val="Heading2"/>
      </w:pPr>
      <w:r>
        <w:t xml:space="preserve">Table S1. Hard-constraint audit of the published smoothed trajectories</w:t>
      </w:r>
    </w:p>
    <w:p>
      <w:pPr>
        <w:pStyle w:val="FirstParagraph"/>
      </w:pPr>
      <w:r>
        <w:t xml:space="preserve">Re-validated against the scenario terrains regenerated with the exact seeds used for the reported experiments (</w:t>
      </w:r>
      <w:r>
        <w:rPr>
          <w:rStyle w:val="VerbatimChar"/>
        </w:rPr>
        <w:t xml:space="preserve">rng(2026+100)</w:t>
      </w:r>
      <w:r>
        <w:t xml:space="preserve"> </w:t>
      </w:r>
      <w:r>
        <w:t xml:space="preserve">mountain,</w:t>
      </w:r>
      <w:r>
        <w:t xml:space="preserve"> </w:t>
      </w:r>
      <w:r>
        <w:rPr>
          <w:rStyle w:val="VerbatimChar"/>
        </w:rPr>
        <w:t xml:space="preserve">rng(2026+200)</w:t>
      </w:r>
      <w:r>
        <w:t xml:space="preserve"> </w:t>
      </w:r>
      <w:r>
        <w:t xml:space="preserve">debris flow;</w:t>
      </w:r>
      <w:r>
        <w:t xml:space="preserve"> </w:t>
      </w:r>
      <w:r>
        <w:rPr>
          <w:rStyle w:val="VerbatimChar"/>
        </w:rPr>
        <w:t xml:space="preserve">minH = 40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maxH = 120</w:t>
      </w:r>
      <w:r>
        <w:t xml:space="preserve">). Thresholds: maximum climb angle</w:t>
      </w:r>
      <w:r>
        <w:t xml:space="preserve"> </w:t>
      </w:r>
      <w:r>
        <w:rPr>
          <w:rStyle w:val="VerbatimChar"/>
        </w:rPr>
        <w:t xml:space="preserve">theta_max = pi/3</w:t>
      </w:r>
      <w:r>
        <w:t xml:space="preserve">, minimum clearance</w:t>
      </w:r>
      <w:r>
        <w:t xml:space="preserve"> </w:t>
      </w:r>
      <w:r>
        <w:rPr>
          <w:rStyle w:val="VerbatimChar"/>
        </w:rPr>
        <w:t xml:space="preserve">h_min = 2</w:t>
      </w:r>
      <w:r>
        <w:t xml:space="preserve"> </w:t>
      </w:r>
      <w:r>
        <w:t xml:space="preserve">m, flight box</w:t>
      </w:r>
      <w:r>
        <w:t xml:space="preserve"> </w:t>
      </w:r>
      <w:r>
        <w:rPr>
          <w:rStyle w:val="VerbatimChar"/>
        </w:rPr>
        <w:t xml:space="preserve">[0,100] x [0,100]</w:t>
      </w:r>
      <w:r>
        <w:t xml:space="preserve">. Trajectories are split into the B-spline-smoothed ones (&gt;= 50 points) and the discrete-waypoint fallback (&lt;= 30 points, i.e. the optimiser’s own output).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Trajectories</w:t>
            </w:r>
          </w:p>
        </w:tc>
        <w:tc>
          <w:tcPr/>
          <w:p>
            <w:pPr>
              <w:pStyle w:val="Compact"/>
            </w:pPr>
            <w:r>
              <w:t xml:space="preserve">Smoothed / fallback</w:t>
            </w:r>
          </w:p>
        </w:tc>
        <w:tc>
          <w:tcPr/>
          <w:p>
            <w:pPr>
              <w:pStyle w:val="Compact"/>
            </w:pPr>
            <w:r>
              <w:t xml:space="preserve">Line segments</w:t>
            </w:r>
          </w:p>
        </w:tc>
        <w:tc>
          <w:tcPr/>
          <w:p>
            <w:pPr>
              <w:pStyle w:val="Compact"/>
            </w:pPr>
            <w:r>
              <w:t xml:space="preserve">Overall pitch rate (%)</w:t>
            </w:r>
          </w:p>
        </w:tc>
        <w:tc>
          <w:tcPr/>
          <w:p>
            <w:pPr>
              <w:pStyle w:val="Compact"/>
            </w:pPr>
            <w:r>
              <w:t xml:space="preserve">Pitch rate, smoothed (%)</w:t>
            </w:r>
          </w:p>
        </w:tc>
        <w:tc>
          <w:tcPr/>
          <w:p>
            <w:pPr>
              <w:pStyle w:val="Compact"/>
            </w:pPr>
            <w:r>
              <w:t xml:space="preserve">Pitch rate, fallback (%)</w:t>
            </w:r>
          </w:p>
        </w:tc>
        <w:tc>
          <w:tcPr/>
          <w:p>
            <w:pPr>
              <w:pStyle w:val="Compact"/>
            </w:pPr>
            <w:r>
              <w:t xml:space="preserve">Max over-limit (deg)</w:t>
            </w:r>
          </w:p>
        </w:tc>
        <w:tc>
          <w:tcPr/>
          <w:p>
            <w:pPr>
              <w:pStyle w:val="Compact"/>
            </w:pPr>
            <w:r>
              <w:t xml:space="preserve">Mean over-limit (deg)</w:t>
            </w:r>
          </w:p>
        </w:tc>
        <w:tc>
          <w:tcPr/>
          <w:p>
            <w:pPr>
              <w:pStyle w:val="Compact"/>
            </w:pPr>
            <w:r>
              <w:t xml:space="preserve">Ground-collision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MOALA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1001 / 499</w:t>
            </w:r>
          </w:p>
        </w:tc>
        <w:tc>
          <w:tcPr/>
          <w:p>
            <w:pPr>
              <w:pStyle w:val="Compact"/>
            </w:pPr>
            <w:r>
              <w:t xml:space="preserve">109578</w:t>
            </w:r>
          </w:p>
        </w:tc>
        <w:tc>
          <w:tcPr/>
          <w:p>
            <w:pPr>
              <w:pStyle w:val="Compact"/>
            </w:pPr>
            <w:r>
              <w:t xml:space="preserve">1.459</w:t>
            </w:r>
          </w:p>
        </w:tc>
        <w:tc>
          <w:tcPr/>
          <w:p>
            <w:pPr>
              <w:pStyle w:val="Compact"/>
            </w:pPr>
            <w:r>
              <w:t xml:space="preserve">1.614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27.31</w:t>
            </w:r>
          </w:p>
        </w:tc>
        <w:tc>
          <w:tcPr/>
          <w:p>
            <w:pPr>
              <w:pStyle w:val="Compact"/>
            </w:pPr>
            <w:r>
              <w:t xml:space="preserve">13.36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NSGAII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272 / 628</w:t>
            </w:r>
          </w:p>
        </w:tc>
        <w:tc>
          <w:tcPr/>
          <w:p>
            <w:pPr>
              <w:pStyle w:val="Compact"/>
            </w:pPr>
            <w:r>
              <w:t xml:space="preserve">40116</w:t>
            </w:r>
          </w:p>
        </w:tc>
        <w:tc>
          <w:tcPr/>
          <w:p>
            <w:pPr>
              <w:pStyle w:val="Compact"/>
            </w:pPr>
            <w:r>
              <w:t xml:space="preserve">1.030</w:t>
            </w:r>
          </w:p>
        </w:tc>
        <w:tc>
          <w:tcPr/>
          <w:p>
            <w:pPr>
              <w:pStyle w:val="Compact"/>
            </w:pPr>
            <w:r>
              <w:t xml:space="preserve">1.534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26.26</w:t>
            </w:r>
          </w:p>
        </w:tc>
        <w:tc>
          <w:tcPr/>
          <w:p>
            <w:pPr>
              <w:pStyle w:val="Compact"/>
            </w:pPr>
            <w:r>
              <w:t xml:space="preserve">9.54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MOPSO</w:t>
            </w:r>
          </w:p>
        </w:tc>
        <w:tc>
          <w:tcPr/>
          <w:p>
            <w:pPr>
              <w:pStyle w:val="Compact"/>
            </w:pPr>
            <w:r>
              <w:t xml:space="preserve">2814</w:t>
            </w:r>
          </w:p>
        </w:tc>
        <w:tc>
          <w:tcPr/>
          <w:p>
            <w:pPr>
              <w:pStyle w:val="Compact"/>
            </w:pPr>
            <w:r>
              <w:t xml:space="preserve">158 / 2656</w:t>
            </w:r>
          </w:p>
        </w:tc>
        <w:tc>
          <w:tcPr/>
          <w:p>
            <w:pPr>
              <w:pStyle w:val="Compact"/>
            </w:pPr>
            <w:r>
              <w:t xml:space="preserve">71418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1.675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27.03</w:t>
            </w:r>
          </w:p>
        </w:tc>
        <w:tc>
          <w:tcPr/>
          <w:p>
            <w:pPr>
              <w:pStyle w:val="Compact"/>
            </w:pPr>
            <w:r>
              <w:t xml:space="preserve">7.96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EALA</w:t>
            </w:r>
          </w:p>
        </w:tc>
        <w:tc>
          <w:tcPr/>
          <w:p>
            <w:pPr>
              <w:pStyle w:val="Compact"/>
            </w:pPr>
            <w:r>
              <w:t xml:space="preserve">570</w:t>
            </w:r>
          </w:p>
        </w:tc>
        <w:tc>
          <w:tcPr/>
          <w:p>
            <w:pPr>
              <w:pStyle w:val="Compact"/>
            </w:pPr>
            <w:r>
              <w:t xml:space="preserve">44 / 526</w:t>
            </w:r>
          </w:p>
        </w:tc>
        <w:tc>
          <w:tcPr/>
          <w:p>
            <w:pPr>
              <w:pStyle w:val="Compact"/>
            </w:pPr>
            <w:r>
              <w:t xml:space="preserve">15402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2.273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24.74</w:t>
            </w:r>
          </w:p>
        </w:tc>
        <w:tc>
          <w:tcPr/>
          <w:p>
            <w:pPr>
              <w:pStyle w:val="Compact"/>
            </w:pPr>
            <w:r>
              <w:t xml:space="preserve">11.75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IALA</w:t>
            </w:r>
          </w:p>
        </w:tc>
        <w:tc>
          <w:tcPr/>
          <w:p>
            <w:pPr>
              <w:pStyle w:val="Compact"/>
            </w:pPr>
            <w:r>
              <w:t xml:space="preserve">1941</w:t>
            </w:r>
          </w:p>
        </w:tc>
        <w:tc>
          <w:tcPr/>
          <w:p>
            <w:pPr>
              <w:pStyle w:val="Compact"/>
            </w:pPr>
            <w:r>
              <w:t xml:space="preserve">1602 / 339</w:t>
            </w:r>
          </w:p>
        </w:tc>
        <w:tc>
          <w:tcPr/>
          <w:p>
            <w:pPr>
              <w:pStyle w:val="Compact"/>
            </w:pPr>
            <w:r>
              <w:t xml:space="preserve">165717</w:t>
            </w:r>
          </w:p>
        </w:tc>
        <w:tc>
          <w:tcPr/>
          <w:p>
            <w:pPr>
              <w:pStyle w:val="Compact"/>
            </w:pPr>
            <w:r>
              <w:t xml:space="preserve">1.749</w:t>
            </w:r>
          </w:p>
        </w:tc>
        <w:tc>
          <w:tcPr/>
          <w:p>
            <w:pPr>
              <w:pStyle w:val="Compact"/>
            </w:pPr>
            <w:r>
              <w:t xml:space="preserve">1.828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25.75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740</w:t>
            </w:r>
          </w:p>
        </w:tc>
        <w:tc>
          <w:tcPr/>
          <w:p>
            <w:pPr>
              <w:pStyle w:val="Compact"/>
            </w:pPr>
            <w:r>
              <w:t xml:space="preserve">209 / 531</w:t>
            </w:r>
          </w:p>
        </w:tc>
        <w:tc>
          <w:tcPr/>
          <w:p>
            <w:pPr>
              <w:pStyle w:val="Compact"/>
            </w:pPr>
            <w:r>
              <w:t xml:space="preserve">31842</w:t>
            </w:r>
          </w:p>
        </w:tc>
        <w:tc>
          <w:tcPr/>
          <w:p>
            <w:pPr>
              <w:pStyle w:val="Compact"/>
            </w:pPr>
            <w:r>
              <w:t xml:space="preserve">2.029</w:t>
            </w:r>
          </w:p>
        </w:tc>
        <w:tc>
          <w:tcPr/>
          <w:p>
            <w:pPr>
              <w:pStyle w:val="Compact"/>
            </w:pPr>
            <w:r>
              <w:t xml:space="preserve">3.122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27.23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MOALA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943 / 557</w:t>
            </w:r>
          </w:p>
        </w:tc>
        <w:tc>
          <w:tcPr/>
          <w:p>
            <w:pPr>
              <w:pStyle w:val="Compact"/>
            </w:pPr>
            <w:r>
              <w:t xml:space="preserve">105054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22.29</w:t>
            </w:r>
          </w:p>
        </w:tc>
        <w:tc>
          <w:tcPr/>
          <w:p>
            <w:pPr>
              <w:pStyle w:val="Compact"/>
            </w:pPr>
            <w:r>
              <w:t xml:space="preserve">13.09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NSGAII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279 / 620</w:t>
            </w:r>
          </w:p>
        </w:tc>
        <w:tc>
          <w:tcPr/>
          <w:p>
            <w:pPr>
              <w:pStyle w:val="Compact"/>
            </w:pPr>
            <w:r>
              <w:t xml:space="preserve">40641</w:t>
            </w:r>
          </w:p>
        </w:tc>
        <w:tc>
          <w:tcPr/>
          <w:p>
            <w:pPr>
              <w:pStyle w:val="Compact"/>
            </w:pPr>
            <w:r>
              <w:t xml:space="preserve">0.327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20.72</w:t>
            </w:r>
          </w:p>
        </w:tc>
        <w:tc>
          <w:tcPr/>
          <w:p>
            <w:pPr>
              <w:pStyle w:val="Compact"/>
            </w:pPr>
            <w:r>
              <w:t xml:space="preserve">9.23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MOPSO</w:t>
            </w:r>
          </w:p>
        </w:tc>
        <w:tc>
          <w:tcPr/>
          <w:p>
            <w:pPr>
              <w:pStyle w:val="Compact"/>
            </w:pPr>
            <w:r>
              <w:t xml:space="preserve">2813</w:t>
            </w:r>
          </w:p>
        </w:tc>
        <w:tc>
          <w:tcPr/>
          <w:p>
            <w:pPr>
              <w:pStyle w:val="Compact"/>
            </w:pPr>
            <w:r>
              <w:t xml:space="preserve">173 / 2640</w:t>
            </w:r>
          </w:p>
        </w:tc>
        <w:tc>
          <w:tcPr/>
          <w:p>
            <w:pPr>
              <w:pStyle w:val="Compact"/>
            </w:pPr>
            <w:r>
              <w:t xml:space="preserve">72567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17.02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EALA</w:t>
            </w:r>
          </w:p>
        </w:tc>
        <w:tc>
          <w:tcPr/>
          <w:p>
            <w:pPr>
              <w:pStyle w:val="Compact"/>
            </w:pPr>
            <w:r>
              <w:t xml:space="preserve">570</w:t>
            </w:r>
          </w:p>
        </w:tc>
        <w:tc>
          <w:tcPr/>
          <w:p>
            <w:pPr>
              <w:pStyle w:val="Compact"/>
            </w:pPr>
            <w:r>
              <w:t xml:space="preserve">144 / 426</w:t>
            </w:r>
          </w:p>
        </w:tc>
        <w:tc>
          <w:tcPr/>
          <w:p>
            <w:pPr>
              <w:pStyle w:val="Compact"/>
            </w:pPr>
            <w:r>
              <w:t xml:space="preserve">23202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7.08</w:t>
            </w:r>
          </w:p>
        </w:tc>
        <w:tc>
          <w:tcPr/>
          <w:p>
            <w:pPr>
              <w:pStyle w:val="Compact"/>
            </w:pPr>
            <w:r>
              <w:t xml:space="preserve">3.62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IALA</w:t>
            </w:r>
          </w:p>
        </w:tc>
        <w:tc>
          <w:tcPr/>
          <w:p>
            <w:pPr>
              <w:pStyle w:val="Compact"/>
            </w:pPr>
            <w:r>
              <w:t xml:space="preserve">2061</w:t>
            </w:r>
          </w:p>
        </w:tc>
        <w:tc>
          <w:tcPr/>
          <w:p>
            <w:pPr>
              <w:pStyle w:val="Compact"/>
            </w:pPr>
            <w:r>
              <w:t xml:space="preserve">1867 / 194</w:t>
            </w:r>
          </w:p>
        </w:tc>
        <w:tc>
          <w:tcPr/>
          <w:p>
            <w:pPr>
              <w:pStyle w:val="Compact"/>
            </w:pPr>
            <w:r>
              <w:t xml:space="preserve">188907</w:t>
            </w:r>
          </w:p>
        </w:tc>
        <w:tc>
          <w:tcPr/>
          <w:p>
            <w:pPr>
              <w:pStyle w:val="Compact"/>
            </w:pPr>
            <w:r>
              <w:t xml:space="preserve">0.577</w:t>
            </w:r>
          </w:p>
        </w:tc>
        <w:tc>
          <w:tcPr/>
          <w:p>
            <w:pPr>
              <w:pStyle w:val="Compact"/>
            </w:pPr>
            <w:r>
              <w:t xml:space="preserve">0.590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22.51</w:t>
            </w:r>
          </w:p>
        </w:tc>
        <w:tc>
          <w:tcPr/>
          <w:p>
            <w:pPr>
              <w:pStyle w:val="Compact"/>
            </w:pPr>
            <w:r>
              <w:t xml:space="preserve">10.51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747</w:t>
            </w:r>
          </w:p>
        </w:tc>
        <w:tc>
          <w:tcPr/>
          <w:p>
            <w:pPr>
              <w:pStyle w:val="Compact"/>
            </w:pPr>
            <w:r>
              <w:t xml:space="preserve">315 / 432</w:t>
            </w:r>
          </w:p>
        </w:tc>
        <w:tc>
          <w:tcPr/>
          <w:p>
            <w:pPr>
              <w:pStyle w:val="Compact"/>
            </w:pPr>
            <w:r>
              <w:t xml:space="preserve">40257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22.19</w:t>
            </w:r>
          </w:p>
        </w:tc>
        <w:tc>
          <w:tcPr/>
          <w:p>
            <w:pPr>
              <w:pStyle w:val="Compact"/>
            </w:pPr>
            <w:r>
              <w:t xml:space="preserve">13.23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Reading:</w:t>
      </w:r>
      <w:r>
        <w:t xml:space="preserve"> </w:t>
      </w:r>
      <w:r>
        <w:t xml:space="preserve">Three pitch-rate definitions are reported, because they answer different questions:</w:t>
      </w:r>
      <w:r>
        <w:t xml:space="preserve"> </w:t>
      </w:r>
      <w:r>
        <w:rPr>
          <w:b/>
          <w:bCs/>
        </w:rPr>
        <w:t xml:space="preserve">Overall</w:t>
      </w:r>
      <w:r>
        <w:t xml:space="preserve"> </w:t>
      </w:r>
      <w:r>
        <w:t xml:space="preserve">= offending segments /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published segments (smoothed and fallback together; this is the quantity quoted in Section 2.1.5 and in Table R1-b of the response letter);</w:t>
      </w:r>
      <w:r>
        <w:t xml:space="preserve"> </w:t>
      </w:r>
      <w:r>
        <w:rPr>
          <w:b/>
          <w:bCs/>
        </w:rPr>
        <w:t xml:space="preserve">smoothed</w:t>
      </w:r>
      <w:r>
        <w:t xml:space="preserve"> </w:t>
      </w:r>
      <w:r>
        <w:t xml:space="preserve">= restricted to the smoothed subset;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= restricted to the optimiser’s own discrete waypoints. (i) ground-collision and out-of-bound violations are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for every algorithm, scenario and run; (ii) the</w:t>
      </w:r>
      <w:r>
        <w:t xml:space="preserve"> </w:t>
      </w:r>
      <w:r>
        <w:rPr>
          <w:b/>
          <w:bCs/>
        </w:rPr>
        <w:t xml:space="preserve">optimiser’s own (unsmoothed) trajectories satisfy the pitch constraint at every segment but one</w:t>
      </w:r>
      <w:r>
        <w:t xml:space="preserve"> </w:t>
      </w:r>
      <w:r>
        <w:t xml:space="preserve">- the discrete-fallback pitch rate is 0.000 % for every algorithm and scenario (the only exception being a single segment out of ~6 000 for MO-ALA in the debris-flow scenario, 0.017 %); (iii) every residual over-limit is therefore introduced by the B-spline</w:t>
      </w:r>
      <w:r>
        <w:t xml:space="preserve"> </w:t>
      </w:r>
      <w:r>
        <w:rPr>
          <w:i/>
          <w:iCs/>
        </w:rPr>
        <w:t xml:space="preserve">display</w:t>
      </w:r>
      <w:r>
        <w:t xml:space="preserve"> </w:t>
      </w:r>
      <w:r>
        <w:t xml:space="preserve">post-processing, it is of the same order for every algorithm (MO-ALA 1.46 % / 0.72 % overall, 1.61 % / 0.81 % on the smoothed subset alone, is below HALA 2.03 % / 0.82 % overall and 3.12 % / 1.06 % smoothed, and comparable to NSGA-II 1.03 % / 0.33 % overall), and it is concentrated in the initial climb-out (about two thirds of the offending segments lie in the first decile of a trajectory). The residual pitch over-limits are therefore neither an MO-ALA anomaly nor evidence that the optimiser violates the constraint.</w:t>
      </w:r>
    </w:p>
    <w:bookmarkEnd w:id="9"/>
    <w:bookmarkStart w:id="10" w:name="Xc4e2f8156bb344a4349121e9620406e99b27102"/>
    <w:p>
      <w:pPr>
        <w:pStyle w:val="Heading2"/>
      </w:pPr>
      <w:r>
        <w:t xml:space="preserve">Table S2. SBX-hybrid operator vs. the original memory-guided operator</w:t>
      </w:r>
    </w:p>
    <w:p>
      <w:pPr>
        <w:pStyle w:val="FirstParagraph"/>
      </w:pPr>
      <w:r>
        <w:t xml:space="preserve">Identical protocol for both rows of each benchmark: N = 30, T = 500, N_arch = 50, 30 runs, paired by seed (</w:t>
      </w:r>
      <w:r>
        <w:rPr>
          <w:rStyle w:val="VerbatimChar"/>
        </w:rPr>
        <w:t xml:space="preserve">20260812 + 4000*b + 100*a + r</w:t>
      </w:r>
      <w:r>
        <w:t xml:space="preserve">); two-sided paired Wilcoxon signed-rank.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HV original</w:t>
            </w:r>
          </w:p>
        </w:tc>
        <w:tc>
          <w:tcPr/>
          <w:p>
            <w:pPr>
              <w:pStyle w:val="Compact"/>
            </w:pPr>
            <w:r>
              <w:t xml:space="preserve">HV hybrid</w:t>
            </w:r>
          </w:p>
        </w:tc>
        <w:tc>
          <w:tcPr/>
          <w:p>
            <w:pPr>
              <w:pStyle w:val="Compact"/>
            </w:pPr>
            <w:r>
              <w:t xml:space="preserve">dHV (p)</w:t>
            </w:r>
          </w:p>
        </w:tc>
        <w:tc>
          <w:tcPr/>
          <w:p>
            <w:pPr>
              <w:pStyle w:val="Compact"/>
            </w:pPr>
            <w:r>
              <w:t xml:space="preserve">IGD original</w:t>
            </w:r>
          </w:p>
        </w:tc>
        <w:tc>
          <w:tcPr/>
          <w:p>
            <w:pPr>
              <w:pStyle w:val="Compact"/>
            </w:pPr>
            <w:r>
              <w:t xml:space="preserve">IGD hybrid</w:t>
            </w:r>
          </w:p>
        </w:tc>
        <w:tc>
          <w:tcPr/>
          <w:p>
            <w:pPr>
              <w:pStyle w:val="Compact"/>
            </w:pPr>
            <w:r>
              <w:t xml:space="preserve">dIGD 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ZDT1</w:t>
            </w:r>
          </w:p>
        </w:tc>
        <w:tc>
          <w:tcPr/>
          <w:p>
            <w:pPr>
              <w:pStyle w:val="Compact"/>
            </w:pPr>
            <w:r>
              <w:t xml:space="preserve">0.6541</w:t>
            </w:r>
          </w:p>
        </w:tc>
        <w:tc>
          <w:tcPr/>
          <w:p>
            <w:pPr>
              <w:pStyle w:val="Compact"/>
            </w:pPr>
            <w:r>
              <w:t xml:space="preserve">0.6538</w:t>
            </w:r>
          </w:p>
        </w:tc>
        <w:tc>
          <w:tcPr/>
          <w:p>
            <w:pPr>
              <w:pStyle w:val="Compact"/>
            </w:pPr>
            <w:r>
              <w:t xml:space="preserve">-0.0% (0.837)</w:t>
            </w:r>
          </w:p>
        </w:tc>
        <w:tc>
          <w:tcPr/>
          <w:p>
            <w:pPr>
              <w:pStyle w:val="Compac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+8.3% (6.98e-06)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ZDT2</w:t>
            </w:r>
          </w:p>
        </w:tc>
        <w:tc>
          <w:tcPr/>
          <w:p>
            <w:pPr>
              <w:pStyle w:val="Compact"/>
            </w:pPr>
            <w:r>
              <w:t xml:space="preserve">0.3224</w:t>
            </w:r>
          </w:p>
        </w:tc>
        <w:tc>
          <w:tcPr/>
          <w:p>
            <w:pPr>
              <w:pStyle w:val="Compact"/>
            </w:pPr>
            <w:r>
              <w:t xml:space="preserve">0.3201</w:t>
            </w:r>
          </w:p>
        </w:tc>
        <w:tc>
          <w:tcPr/>
          <w:p>
            <w:pPr>
              <w:pStyle w:val="Compact"/>
            </w:pPr>
            <w:r>
              <w:t xml:space="preserve">-0.7% (0.027)</w:t>
            </w:r>
          </w:p>
        </w:tc>
        <w:tc>
          <w:tcPr/>
          <w:p>
            <w:pPr>
              <w:pStyle w:val="Compact"/>
            </w:pPr>
            <w:r>
              <w:t xml:space="preserve">0.0091</w:t>
            </w:r>
          </w:p>
        </w:tc>
        <w:tc>
          <w:tcPr/>
          <w:p>
            <w:pPr>
              <w:pStyle w:val="Compact"/>
            </w:pPr>
            <w:r>
              <w:t xml:space="preserve">0.0101</w:t>
            </w:r>
          </w:p>
        </w:tc>
        <w:tc>
          <w:tcPr/>
          <w:p>
            <w:pPr>
              <w:pStyle w:val="Compact"/>
            </w:pPr>
            <w:r>
              <w:t xml:space="preserve">+11.4% (1.73e-06)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ZDT3</w:t>
            </w:r>
          </w:p>
        </w:tc>
        <w:tc>
          <w:tcPr/>
          <w:p>
            <w:pPr>
              <w:pStyle w:val="Compact"/>
            </w:pPr>
            <w:r>
              <w:t xml:space="preserve">0.7788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-0.1% (0.959)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t xml:space="preserve">0.0214</w:t>
            </w:r>
          </w:p>
        </w:tc>
        <w:tc>
          <w:tcPr/>
          <w:p>
            <w:pPr>
              <w:pStyle w:val="Compact"/>
            </w:pPr>
            <w:r>
              <w:t xml:space="preserve">+105.0% (5.75e-06)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DTLZ1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0.0059</w:t>
            </w:r>
          </w:p>
        </w:tc>
        <w:tc>
          <w:tcPr/>
          <w:p>
            <w:pPr>
              <w:pStyle w:val="Compact"/>
            </w:pPr>
            <w:r>
              <w:t xml:space="preserve">+inf (0.00195)</w:t>
            </w:r>
          </w:p>
        </w:tc>
        <w:tc>
          <w:tcPr/>
          <w:p>
            <w:pPr>
              <w:pStyle w:val="Compact"/>
            </w:pPr>
            <w:r>
              <w:t xml:space="preserve">40.4788</w:t>
            </w:r>
          </w:p>
        </w:tc>
        <w:tc>
          <w:tcPr/>
          <w:p>
            <w:pPr>
              <w:pStyle w:val="Compact"/>
            </w:pPr>
            <w:r>
              <w:t xml:space="preserve">1.0776</w:t>
            </w:r>
          </w:p>
        </w:tc>
        <w:tc>
          <w:tcPr/>
          <w:p>
            <w:pPr>
              <w:pStyle w:val="Compact"/>
            </w:pPr>
            <w:r>
              <w:t xml:space="preserve">-97.3% (1.73e-06)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DTLZ2</w:t>
            </w:r>
          </w:p>
        </w:tc>
        <w:tc>
          <w:tcPr/>
          <w:p>
            <w:pPr>
              <w:pStyle w:val="Compact"/>
            </w:pPr>
            <w:r>
              <w:t xml:space="preserve">0.4893</w:t>
            </w:r>
          </w:p>
        </w:tc>
        <w:tc>
          <w:tcPr/>
          <w:p>
            <w:pPr>
              <w:pStyle w:val="Compact"/>
            </w:pPr>
            <w:r>
              <w:t xml:space="preserve">0.4899</w:t>
            </w:r>
          </w:p>
        </w:tc>
        <w:tc>
          <w:tcPr/>
          <w:p>
            <w:pPr>
              <w:pStyle w:val="Compact"/>
            </w:pPr>
            <w:r>
              <w:t xml:space="preserve">+0.1% (0.651)</w:t>
            </w:r>
          </w:p>
        </w:tc>
        <w:tc>
          <w:tcPr/>
          <w:p>
            <w:pPr>
              <w:pStyle w:val="Compact"/>
            </w:pPr>
            <w:r>
              <w:t xml:space="preserve">0.0951</w:t>
            </w:r>
          </w:p>
        </w:tc>
        <w:tc>
          <w:tcPr/>
          <w:p>
            <w:pPr>
              <w:pStyle w:val="Compact"/>
            </w:pPr>
            <w:r>
              <w:t xml:space="preserve">0.0912</w:t>
            </w:r>
          </w:p>
        </w:tc>
        <w:tc>
          <w:tcPr/>
          <w:p>
            <w:pPr>
              <w:pStyle w:val="Compact"/>
            </w:pPr>
            <w:r>
              <w:t xml:space="preserve">-4.0% (0.000771)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DTLZ3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0.0420</w:t>
            </w:r>
          </w:p>
        </w:tc>
        <w:tc>
          <w:tcPr/>
          <w:p>
            <w:pPr>
              <w:pStyle w:val="Compact"/>
            </w:pPr>
            <w:r>
              <w:t xml:space="preserve">+inf (0.00391)</w:t>
            </w:r>
          </w:p>
        </w:tc>
        <w:tc>
          <w:tcPr/>
          <w:p>
            <w:pPr>
              <w:pStyle w:val="Compact"/>
            </w:pPr>
            <w:r>
              <w:t xml:space="preserve">108.8292</w:t>
            </w:r>
          </w:p>
        </w:tc>
        <w:tc>
          <w:tcPr/>
          <w:p>
            <w:pPr>
              <w:pStyle w:val="Compact"/>
            </w:pPr>
            <w:r>
              <w:t xml:space="preserve">1.6796</w:t>
            </w:r>
          </w:p>
        </w:tc>
        <w:tc>
          <w:tcPr/>
          <w:p>
            <w:pPr>
              <w:pStyle w:val="Compact"/>
            </w:pPr>
            <w:r>
              <w:t xml:space="preserve">-98.5% (1.73e-06)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Reading:</w:t>
      </w:r>
      <w:r>
        <w:t xml:space="preserve"> </w:t>
      </w:r>
      <w:r>
        <w:t xml:space="preserve">on the two benchmarks with a deceptive/far-from-Pareto start (DTLZ1, DTLZ3) the SBX hybrid lifts the archive from an empty/near-empty front (HV 0.0000) to a usable one (0.0059 / 0.0420) and cuts IGD by ~97-99 %. On the smooth ZDT fronts it is weakly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(IGD +8.3 % / +11.4 % / +105.0 %). This is the empirical basis for keeping the SBX hybrid as an auxiliary exploratory option rather than integrating it into MO-ALA.</w:t>
      </w:r>
    </w:p>
    <w:bookmarkEnd w:id="10"/>
    <w:bookmarkStart w:id="11" w:name="X97d3b15e063d3cd2642032cfd5305742469dbdd"/>
    <w:p>
      <w:pPr>
        <w:pStyle w:val="Heading2"/>
      </w:pPr>
      <w:r>
        <w:t xml:space="preserve">Table S3. Sensitivity of the TOPSIS selection to the risk weight w(J3) (MO-ALA)</w:t>
      </w:r>
    </w:p>
    <w:p>
      <w:pPr>
        <w:pStyle w:val="FirstParagraph"/>
      </w:pPr>
      <w:r>
        <w:t xml:space="preserve">The base late-stage weight vector w = (0.1, 0.1, 0.6, 0.2) has its risk weight w(J3) swept over {0.2 … 0.7}; the remaining weights are renormalised to sum to 1-w(J3). Means over the 30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w(J3)</w:t>
            </w:r>
          </w:p>
        </w:tc>
        <w:tc>
          <w:tcPr/>
          <w:p>
            <w:pPr>
              <w:pStyle w:val="Compact"/>
            </w:pPr>
            <w:r>
              <w:t xml:space="preserve">Mountain: J1 (/m)</w:t>
            </w:r>
          </w:p>
        </w:tc>
        <w:tc>
          <w:tcPr/>
          <w:p>
            <w:pPr>
              <w:pStyle w:val="Compact"/>
            </w:pPr>
            <w:r>
              <w:t xml:space="preserve">Mountain: J3</w:t>
            </w:r>
          </w:p>
        </w:tc>
        <w:tc>
          <w:tcPr/>
          <w:p>
            <w:pPr>
              <w:pStyle w:val="Compact"/>
            </w:pPr>
            <w:r>
              <w:t xml:space="preserve">Mountain: C_i</w:t>
            </w:r>
          </w:p>
        </w:tc>
        <w:tc>
          <w:tcPr/>
          <w:p>
            <w:pPr>
              <w:pStyle w:val="Compact"/>
            </w:pPr>
            <w:r>
              <w:t xml:space="preserve">Debris flow: J1 (/m)</w:t>
            </w:r>
          </w:p>
        </w:tc>
        <w:tc>
          <w:tcPr/>
          <w:p>
            <w:pPr>
              <w:pStyle w:val="Compact"/>
            </w:pPr>
            <w:r>
              <w:t xml:space="preserve">Debris flow: J3</w:t>
            </w:r>
          </w:p>
        </w:tc>
        <w:tc>
          <w:tcPr/>
          <w:p>
            <w:pPr>
              <w:pStyle w:val="Compact"/>
            </w:pPr>
            <w:r>
              <w:t xml:space="preserve">Debris flow: C_i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221.17</w:t>
            </w:r>
          </w:p>
        </w:tc>
        <w:tc>
          <w:tcPr/>
          <w:p>
            <w:pPr>
              <w:pStyle w:val="Compact"/>
            </w:pPr>
            <w:r>
              <w:t xml:space="preserve">462.82</w:t>
            </w:r>
          </w:p>
        </w:tc>
        <w:tc>
          <w:tcPr/>
          <w:p>
            <w:pPr>
              <w:pStyle w:val="Compact"/>
            </w:pPr>
            <w:r>
              <w:t xml:space="preserve">0.7319</w:t>
            </w:r>
          </w:p>
        </w:tc>
        <w:tc>
          <w:tcPr/>
          <w:p>
            <w:pPr>
              <w:pStyle w:val="Compact"/>
            </w:pPr>
            <w:r>
              <w:t xml:space="preserve">229.99</w:t>
            </w:r>
          </w:p>
        </w:tc>
        <w:tc>
          <w:tcPr/>
          <w:p>
            <w:pPr>
              <w:pStyle w:val="Compact"/>
            </w:pPr>
            <w:r>
              <w:t xml:space="preserve">378.28</w:t>
            </w:r>
          </w:p>
        </w:tc>
        <w:tc>
          <w:tcPr/>
          <w:p>
            <w:pPr>
              <w:pStyle w:val="Compact"/>
            </w:pPr>
            <w:r>
              <w:t xml:space="preserve">0.7184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248.18</w:t>
            </w:r>
          </w:p>
        </w:tc>
        <w:tc>
          <w:tcPr/>
          <w:p>
            <w:pPr>
              <w:pStyle w:val="Compact"/>
            </w:pPr>
            <w:r>
              <w:t xml:space="preserve">218.27</w:t>
            </w:r>
          </w:p>
        </w:tc>
        <w:tc>
          <w:tcPr/>
          <w:p>
            <w:pPr>
              <w:pStyle w:val="Compact"/>
            </w:pPr>
            <w:r>
              <w:t xml:space="preserve">0.7515</w:t>
            </w:r>
          </w:p>
        </w:tc>
        <w:tc>
          <w:tcPr/>
          <w:p>
            <w:pPr>
              <w:pStyle w:val="Compact"/>
            </w:pPr>
            <w:r>
              <w:t xml:space="preserve">247.85</w:t>
            </w:r>
          </w:p>
        </w:tc>
        <w:tc>
          <w:tcPr/>
          <w:p>
            <w:pPr>
              <w:pStyle w:val="Compact"/>
            </w:pPr>
            <w:r>
              <w:t xml:space="preserve">188.19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248.71</w:t>
            </w:r>
          </w:p>
        </w:tc>
        <w:tc>
          <w:tcPr/>
          <w:p>
            <w:pPr>
              <w:pStyle w:val="Compact"/>
            </w:pPr>
            <w:r>
              <w:t xml:space="preserve">209.04</w:t>
            </w:r>
          </w:p>
        </w:tc>
        <w:tc>
          <w:tcPr/>
          <w:p>
            <w:pPr>
              <w:pStyle w:val="Compact"/>
            </w:pPr>
            <w:r>
              <w:t xml:space="preserve">0.7967</w:t>
            </w:r>
          </w:p>
        </w:tc>
        <w:tc>
          <w:tcPr/>
          <w:p>
            <w:pPr>
              <w:pStyle w:val="Compact"/>
            </w:pPr>
            <w:r>
              <w:t xml:space="preserve">250.33</w:t>
            </w:r>
          </w:p>
        </w:tc>
        <w:tc>
          <w:tcPr/>
          <w:p>
            <w:pPr>
              <w:pStyle w:val="Compact"/>
            </w:pPr>
            <w:r>
              <w:t xml:space="preserve">171.12</w:t>
            </w:r>
          </w:p>
        </w:tc>
        <w:tc>
          <w:tcPr/>
          <w:p>
            <w:pPr>
              <w:pStyle w:val="Compact"/>
            </w:pPr>
            <w:r>
              <w:t xml:space="preserve">0.7979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257.08</w:t>
            </w:r>
          </w:p>
        </w:tc>
        <w:tc>
          <w:tcPr/>
          <w:p>
            <w:pPr>
              <w:pStyle w:val="Compact"/>
            </w:pPr>
            <w:r>
              <w:t xml:space="preserve">181.28</w:t>
            </w:r>
          </w:p>
        </w:tc>
        <w:tc>
          <w:tcPr/>
          <w:p>
            <w:pPr>
              <w:pStyle w:val="Compact"/>
            </w:pPr>
            <w:r>
              <w:t xml:space="preserve">0.8407</w:t>
            </w:r>
          </w:p>
        </w:tc>
        <w:tc>
          <w:tcPr/>
          <w:p>
            <w:pPr>
              <w:pStyle w:val="Compact"/>
            </w:pPr>
            <w:r>
              <w:t xml:space="preserve">251.16</w:t>
            </w:r>
          </w:p>
        </w:tc>
        <w:tc>
          <w:tcPr/>
          <w:p>
            <w:pPr>
              <w:pStyle w:val="Compact"/>
            </w:pPr>
            <w:r>
              <w:t xml:space="preserve">165.29</w:t>
            </w:r>
          </w:p>
        </w:tc>
        <w:tc>
          <w:tcPr/>
          <w:p>
            <w:pPr>
              <w:pStyle w:val="Compact"/>
            </w:pPr>
            <w:r>
              <w:t xml:space="preserve">0.8413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256.91</w:t>
            </w:r>
          </w:p>
        </w:tc>
        <w:tc>
          <w:tcPr/>
          <w:p>
            <w:pPr>
              <w:pStyle w:val="Compact"/>
            </w:pPr>
            <w:r>
              <w:t xml:space="preserve">171.95</w:t>
            </w:r>
          </w:p>
        </w:tc>
        <w:tc>
          <w:tcPr/>
          <w:p>
            <w:pPr>
              <w:pStyle w:val="Compact"/>
            </w:pPr>
            <w:r>
              <w:t xml:space="preserve">0.8797</w:t>
            </w:r>
          </w:p>
        </w:tc>
        <w:tc>
          <w:tcPr/>
          <w:p>
            <w:pPr>
              <w:pStyle w:val="Compact"/>
            </w:pPr>
            <w:r>
              <w:t xml:space="preserve">258.34</w:t>
            </w:r>
          </w:p>
        </w:tc>
        <w:tc>
          <w:tcPr/>
          <w:p>
            <w:pPr>
              <w:pStyle w:val="Compact"/>
            </w:pPr>
            <w:r>
              <w:t xml:space="preserve">150.42</w:t>
            </w:r>
          </w:p>
        </w:tc>
        <w:tc>
          <w:tcPr/>
          <w:p>
            <w:pPr>
              <w:pStyle w:val="Compact"/>
            </w:pPr>
            <w:r>
              <w:t xml:space="preserve">0.8804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267.02</w:t>
            </w:r>
          </w:p>
        </w:tc>
        <w:tc>
          <w:tcPr/>
          <w:p>
            <w:pPr>
              <w:pStyle w:val="Compact"/>
            </w:pPr>
            <w:r>
              <w:t xml:space="preserve">160.90</w:t>
            </w:r>
          </w:p>
        </w:tc>
        <w:tc>
          <w:tcPr/>
          <w:p>
            <w:pPr>
              <w:pStyle w:val="Compact"/>
            </w:pPr>
            <w:r>
              <w:t xml:space="preserve">0.9136</w:t>
            </w:r>
          </w:p>
        </w:tc>
        <w:tc>
          <w:tcPr/>
          <w:p>
            <w:pPr>
              <w:pStyle w:val="Compact"/>
            </w:pPr>
            <w:r>
              <w:t xml:space="preserve">258.25</w:t>
            </w:r>
          </w:p>
        </w:tc>
        <w:tc>
          <w:tcPr/>
          <w:p>
            <w:pPr>
              <w:pStyle w:val="Compact"/>
            </w:pPr>
            <w:r>
              <w:t xml:space="preserve">142.55</w:t>
            </w:r>
          </w:p>
        </w:tc>
        <w:tc>
          <w:tcPr/>
          <w:p>
            <w:pPr>
              <w:pStyle w:val="Compact"/>
            </w:pPr>
            <w:r>
              <w:t xml:space="preserve">0.9143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Reading:</w:t>
      </w:r>
      <w:r>
        <w:t xml:space="preserve"> </w:t>
      </w:r>
      <w:r>
        <w:t xml:space="preserve">raising w(J3) shifts the selected solution monotonically from short/high-risk to long/low-risk while the closeness coefficient stays high, i.e. the mission-stage interface is monotone and smooth rather than a knife-edge.</w:t>
      </w:r>
    </w:p>
    <w:bookmarkEnd w:id="11"/>
    <w:bookmarkStart w:id="12" w:name="X19a91ef471adf6c7441bb88a75175917cbe20f8"/>
    <w:p>
      <w:pPr>
        <w:pStyle w:val="Heading2"/>
      </w:pPr>
      <w:r>
        <w:t xml:space="preserve">Table S4. Consistently selected solution per algorithm (TOPSIS, late-stage weights w = (0.1, 0.1, 0.6, 0.2)); mean +/- std over the 30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J1 (/m)</w:t>
            </w:r>
          </w:p>
        </w:tc>
        <w:tc>
          <w:tcPr/>
          <w:p>
            <w:pPr>
              <w:pStyle w:val="Compact"/>
            </w:pPr>
            <w:r>
              <w:t xml:space="preserve">J2</w:t>
            </w:r>
          </w:p>
        </w:tc>
        <w:tc>
          <w:tcPr/>
          <w:p>
            <w:pPr>
              <w:pStyle w:val="Compact"/>
            </w:pPr>
            <w:r>
              <w:t xml:space="preserve">J3</w:t>
            </w:r>
          </w:p>
        </w:tc>
        <w:tc>
          <w:tcPr/>
          <w:p>
            <w:pPr>
              <w:pStyle w:val="Compact"/>
            </w:pPr>
            <w:r>
              <w:t xml:space="preserve">J4 (/rad)</w:t>
            </w:r>
          </w:p>
        </w:tc>
        <w:tc>
          <w:tcPr/>
          <w:p>
            <w:pPr>
              <w:pStyle w:val="Compact"/>
            </w:pPr>
            <w:r>
              <w:t xml:space="preserve">C_i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MOALA</w:t>
            </w:r>
          </w:p>
        </w:tc>
        <w:tc>
          <w:tcPr/>
          <w:p>
            <w:pPr>
              <w:pStyle w:val="Compact"/>
            </w:pPr>
            <w:r>
              <w:t xml:space="preserve">281.43 +/- 68.34</w:t>
            </w:r>
          </w:p>
        </w:tc>
        <w:tc>
          <w:tcPr/>
          <w:p>
            <w:pPr>
              <w:pStyle w:val="Compact"/>
            </w:pPr>
            <w:r>
              <w:t xml:space="preserve">2.223 +/- 0.702</w:t>
            </w:r>
          </w:p>
        </w:tc>
        <w:tc>
          <w:tcPr/>
          <w:p>
            <w:pPr>
              <w:pStyle w:val="Compact"/>
            </w:pPr>
            <w:r>
              <w:t xml:space="preserve">183.70 +/- 84.23</w:t>
            </w:r>
          </w:p>
        </w:tc>
        <w:tc>
          <w:tcPr/>
          <w:p>
            <w:pPr>
              <w:pStyle w:val="Compact"/>
            </w:pPr>
            <w:r>
              <w:t xml:space="preserve">2.661 +/- 0.707</w:t>
            </w:r>
          </w:p>
        </w:tc>
        <w:tc>
          <w:tcPr/>
          <w:p>
            <w:pPr>
              <w:pStyle w:val="Compact"/>
            </w:pPr>
            <w:r>
              <w:t xml:space="preserve">0.8443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NSGAII</w:t>
            </w:r>
          </w:p>
        </w:tc>
        <w:tc>
          <w:tcPr/>
          <w:p>
            <w:pPr>
              <w:pStyle w:val="Compact"/>
            </w:pPr>
            <w:r>
              <w:t xml:space="preserve">375.61 +/- 75.01</w:t>
            </w:r>
          </w:p>
        </w:tc>
        <w:tc>
          <w:tcPr/>
          <w:p>
            <w:pPr>
              <w:pStyle w:val="Compact"/>
            </w:pPr>
            <w:r>
              <w:t xml:space="preserve">2.502 +/- 0.766</w:t>
            </w:r>
          </w:p>
        </w:tc>
        <w:tc>
          <w:tcPr/>
          <w:p>
            <w:pPr>
              <w:pStyle w:val="Compact"/>
            </w:pPr>
            <w:r>
              <w:t xml:space="preserve">335.23 +/- 68.53</w:t>
            </w:r>
          </w:p>
        </w:tc>
        <w:tc>
          <w:tcPr/>
          <w:p>
            <w:pPr>
              <w:pStyle w:val="Compact"/>
            </w:pPr>
            <w:r>
              <w:t xml:space="preserve">2.528 +/- 0.664</w:t>
            </w:r>
          </w:p>
        </w:tc>
        <w:tc>
          <w:tcPr/>
          <w:p>
            <w:pPr>
              <w:pStyle w:val="Compact"/>
            </w:pPr>
            <w:r>
              <w:t xml:space="preserve">0.7021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MOPSO</w:t>
            </w:r>
          </w:p>
        </w:tc>
        <w:tc>
          <w:tcPr/>
          <w:p>
            <w:pPr>
              <w:pStyle w:val="Compact"/>
            </w:pPr>
            <w:r>
              <w:t xml:space="preserve">533.24 +/- 163.79</w:t>
            </w:r>
          </w:p>
        </w:tc>
        <w:tc>
          <w:tcPr/>
          <w:p>
            <w:pPr>
              <w:pStyle w:val="Compact"/>
            </w:pPr>
            <w:r>
              <w:t xml:space="preserve">4.300 +/- 1.072</w:t>
            </w:r>
          </w:p>
        </w:tc>
        <w:tc>
          <w:tcPr/>
          <w:p>
            <w:pPr>
              <w:pStyle w:val="Compact"/>
            </w:pPr>
            <w:r>
              <w:t xml:space="preserve">557.19 +/- 285.95</w:t>
            </w:r>
          </w:p>
        </w:tc>
        <w:tc>
          <w:tcPr/>
          <w:p>
            <w:pPr>
              <w:pStyle w:val="Compact"/>
            </w:pPr>
            <w:r>
              <w:t xml:space="preserve">3.241 +/- 1.694</w:t>
            </w:r>
          </w:p>
        </w:tc>
        <w:tc>
          <w:tcPr/>
          <w:p>
            <w:pPr>
              <w:pStyle w:val="Compact"/>
            </w:pPr>
            <w:r>
              <w:t xml:space="preserve">0.5875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EALA</w:t>
            </w:r>
          </w:p>
        </w:tc>
        <w:tc>
          <w:tcPr/>
          <w:p>
            <w:pPr>
              <w:pStyle w:val="Compact"/>
            </w:pPr>
            <w:r>
              <w:t xml:space="preserve">386.01 +/- 204.41</w:t>
            </w:r>
          </w:p>
        </w:tc>
        <w:tc>
          <w:tcPr/>
          <w:p>
            <w:pPr>
              <w:pStyle w:val="Compact"/>
            </w:pPr>
            <w:r>
              <w:t xml:space="preserve">3.121 +/- 1.770</w:t>
            </w:r>
          </w:p>
        </w:tc>
        <w:tc>
          <w:tcPr/>
          <w:p>
            <w:pPr>
              <w:pStyle w:val="Compact"/>
            </w:pPr>
            <w:r>
              <w:t xml:space="preserve">782.16 +/- 105.03</w:t>
            </w:r>
          </w:p>
        </w:tc>
        <w:tc>
          <w:tcPr/>
          <w:p>
            <w:pPr>
              <w:pStyle w:val="Compact"/>
            </w:pPr>
            <w:r>
              <w:t xml:space="preserve">2.490 +/- 1.502</w:t>
            </w:r>
          </w:p>
        </w:tc>
        <w:tc>
          <w:tcPr/>
          <w:p>
            <w:pPr>
              <w:pStyle w:val="Compact"/>
            </w:pPr>
            <w:r>
              <w:t xml:space="preserve">0.6289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IALA</w:t>
            </w:r>
          </w:p>
        </w:tc>
        <w:tc>
          <w:tcPr/>
          <w:p>
            <w:pPr>
              <w:pStyle w:val="Compact"/>
            </w:pPr>
            <w:r>
              <w:t xml:space="preserve">270.32 +/- 37.46</w:t>
            </w:r>
          </w:p>
        </w:tc>
        <w:tc>
          <w:tcPr/>
          <w:p>
            <w:pPr>
              <w:pStyle w:val="Compact"/>
            </w:pPr>
            <w:r>
              <w:t xml:space="preserve">2.018 +/- 0.290</w:t>
            </w:r>
          </w:p>
        </w:tc>
        <w:tc>
          <w:tcPr/>
          <w:p>
            <w:pPr>
              <w:pStyle w:val="Compact"/>
            </w:pPr>
            <w:r>
              <w:t xml:space="preserve">158.22 +/- 34.33</w:t>
            </w:r>
          </w:p>
        </w:tc>
        <w:tc>
          <w:tcPr/>
          <w:p>
            <w:pPr>
              <w:pStyle w:val="Compact"/>
            </w:pPr>
            <w:r>
              <w:t xml:space="preserve">2.721 +/- 0.392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Mountain (S1)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201.63 +/- 59.43</w:t>
            </w:r>
          </w:p>
        </w:tc>
        <w:tc>
          <w:tcPr/>
          <w:p>
            <w:pPr>
              <w:pStyle w:val="Compact"/>
            </w:pPr>
            <w:r>
              <w:t xml:space="preserve">1.319 +/- 0.612</w:t>
            </w:r>
          </w:p>
        </w:tc>
        <w:tc>
          <w:tcPr/>
          <w:p>
            <w:pPr>
              <w:pStyle w:val="Compact"/>
            </w:pPr>
            <w:r>
              <w:t xml:space="preserve">90.19 +/- 64.34</w:t>
            </w:r>
          </w:p>
        </w:tc>
        <w:tc>
          <w:tcPr/>
          <w:p>
            <w:pPr>
              <w:pStyle w:val="Compact"/>
            </w:pPr>
            <w:r>
              <w:t xml:space="preserve">2.018 +/- 1.027</w:t>
            </w:r>
          </w:p>
        </w:tc>
        <w:tc>
          <w:tcPr/>
          <w:p>
            <w:pPr>
              <w:pStyle w:val="Compact"/>
            </w:pPr>
            <w:r>
              <w:t xml:space="preserve">0.8172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MOALA</w:t>
            </w:r>
          </w:p>
        </w:tc>
        <w:tc>
          <w:tcPr/>
          <w:p>
            <w:pPr>
              <w:pStyle w:val="Compact"/>
            </w:pPr>
            <w:r>
              <w:t xml:space="preserve">271.39 +/- 87.12</w:t>
            </w:r>
          </w:p>
        </w:tc>
        <w:tc>
          <w:tcPr/>
          <w:p>
            <w:pPr>
              <w:pStyle w:val="Compact"/>
            </w:pPr>
            <w:r>
              <w:t xml:space="preserve">2.149 +/- 0.789</w:t>
            </w:r>
          </w:p>
        </w:tc>
        <w:tc>
          <w:tcPr/>
          <w:p>
            <w:pPr>
              <w:pStyle w:val="Compact"/>
            </w:pPr>
            <w:r>
              <w:t xml:space="preserve">159.91 +/- 74.26</w:t>
            </w:r>
          </w:p>
        </w:tc>
        <w:tc>
          <w:tcPr/>
          <w:p>
            <w:pPr>
              <w:pStyle w:val="Compact"/>
            </w:pPr>
            <w:r>
              <w:t xml:space="preserve">2.609 +/- 0.739</w:t>
            </w:r>
          </w:p>
        </w:tc>
        <w:tc>
          <w:tcPr/>
          <w:p>
            <w:pPr>
              <w:pStyle w:val="Compact"/>
            </w:pPr>
            <w:r>
              <w:t xml:space="preserve">0.8401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NSGAII</w:t>
            </w:r>
          </w:p>
        </w:tc>
        <w:tc>
          <w:tcPr/>
          <w:p>
            <w:pPr>
              <w:pStyle w:val="Compact"/>
            </w:pPr>
            <w:r>
              <w:t xml:space="preserve">378.81 +/- 71.20</w:t>
            </w:r>
          </w:p>
        </w:tc>
        <w:tc>
          <w:tcPr/>
          <w:p>
            <w:pPr>
              <w:pStyle w:val="Compact"/>
            </w:pPr>
            <w:r>
              <w:t xml:space="preserve">2.535 +/- 0.588</w:t>
            </w:r>
          </w:p>
        </w:tc>
        <w:tc>
          <w:tcPr/>
          <w:p>
            <w:pPr>
              <w:pStyle w:val="Compact"/>
            </w:pPr>
            <w:r>
              <w:t xml:space="preserve">295.43 +/- 81.04</w:t>
            </w:r>
          </w:p>
        </w:tc>
        <w:tc>
          <w:tcPr/>
          <w:p>
            <w:pPr>
              <w:pStyle w:val="Compact"/>
            </w:pPr>
            <w:r>
              <w:t xml:space="preserve">2.702 +/- 0.663</w:t>
            </w:r>
          </w:p>
        </w:tc>
        <w:tc>
          <w:tcPr/>
          <w:p>
            <w:pPr>
              <w:pStyle w:val="Compact"/>
            </w:pPr>
            <w:r>
              <w:t xml:space="preserve">0.6791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MOPSO</w:t>
            </w:r>
          </w:p>
        </w:tc>
        <w:tc>
          <w:tcPr/>
          <w:p>
            <w:pPr>
              <w:pStyle w:val="Compact"/>
            </w:pPr>
            <w:r>
              <w:t xml:space="preserve">569.56 +/- 145.83</w:t>
            </w:r>
          </w:p>
        </w:tc>
        <w:tc>
          <w:tcPr/>
          <w:p>
            <w:pPr>
              <w:pStyle w:val="Compact"/>
            </w:pPr>
            <w:r>
              <w:t xml:space="preserve">4.482 +/- 0.973</w:t>
            </w:r>
          </w:p>
        </w:tc>
        <w:tc>
          <w:tcPr/>
          <w:p>
            <w:pPr>
              <w:pStyle w:val="Compact"/>
            </w:pPr>
            <w:r>
              <w:t xml:space="preserve">506.20 +/- 283.21</w:t>
            </w:r>
          </w:p>
        </w:tc>
        <w:tc>
          <w:tcPr/>
          <w:p>
            <w:pPr>
              <w:pStyle w:val="Compact"/>
            </w:pPr>
            <w:r>
              <w:t xml:space="preserve">3.448 +/- 1.486</w:t>
            </w:r>
          </w:p>
        </w:tc>
        <w:tc>
          <w:tcPr/>
          <w:p>
            <w:pPr>
              <w:pStyle w:val="Compact"/>
            </w:pPr>
            <w:r>
              <w:t xml:space="preserve">0.6059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EALA</w:t>
            </w:r>
          </w:p>
        </w:tc>
        <w:tc>
          <w:tcPr/>
          <w:p>
            <w:pPr>
              <w:pStyle w:val="Compact"/>
            </w:pPr>
            <w:r>
              <w:t xml:space="preserve">465.84 +/- 223.39</w:t>
            </w:r>
          </w:p>
        </w:tc>
        <w:tc>
          <w:tcPr/>
          <w:p>
            <w:pPr>
              <w:pStyle w:val="Compact"/>
            </w:pPr>
            <w:r>
              <w:t xml:space="preserve">3.766 +/- 1.959</w:t>
            </w:r>
          </w:p>
        </w:tc>
        <w:tc>
          <w:tcPr/>
          <w:p>
            <w:pPr>
              <w:pStyle w:val="Compact"/>
            </w:pPr>
            <w:r>
              <w:t xml:space="preserve">826.10 +/- 88.25</w:t>
            </w:r>
          </w:p>
        </w:tc>
        <w:tc>
          <w:tcPr/>
          <w:p>
            <w:pPr>
              <w:pStyle w:val="Compact"/>
            </w:pPr>
            <w:r>
              <w:t xml:space="preserve">2.820 +/- 1.587</w:t>
            </w:r>
          </w:p>
        </w:tc>
        <w:tc>
          <w:tcPr/>
          <w:p>
            <w:pPr>
              <w:pStyle w:val="Compac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IALA</w:t>
            </w:r>
          </w:p>
        </w:tc>
        <w:tc>
          <w:tcPr/>
          <w:p>
            <w:pPr>
              <w:pStyle w:val="Compact"/>
            </w:pPr>
            <w:r>
              <w:t xml:space="preserve">227.60 +/- 40.01</w:t>
            </w:r>
          </w:p>
        </w:tc>
        <w:tc>
          <w:tcPr/>
          <w:p>
            <w:pPr>
              <w:pStyle w:val="Compact"/>
            </w:pPr>
            <w:r>
              <w:t xml:space="preserve">1.742 +/- 0.319</w:t>
            </w:r>
          </w:p>
        </w:tc>
        <w:tc>
          <w:tcPr/>
          <w:p>
            <w:pPr>
              <w:pStyle w:val="Compact"/>
            </w:pPr>
            <w:r>
              <w:t xml:space="preserve">107.44 +/- 24.68</w:t>
            </w:r>
          </w:p>
        </w:tc>
        <w:tc>
          <w:tcPr/>
          <w:p>
            <w:pPr>
              <w:pStyle w:val="Compact"/>
            </w:pPr>
            <w:r>
              <w:t xml:space="preserve">2.690 +/- 0.448</w:t>
            </w:r>
          </w:p>
        </w:tc>
        <w:tc>
          <w:tcPr/>
          <w:p>
            <w:pPr>
              <w:pStyle w:val="Compact"/>
            </w:pPr>
            <w:r>
              <w:t xml:space="preserve">0.9403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flow (S2)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181.37 +/- 53.99</w:t>
            </w:r>
          </w:p>
        </w:tc>
        <w:tc>
          <w:tcPr/>
          <w:p>
            <w:pPr>
              <w:pStyle w:val="Compact"/>
            </w:pPr>
            <w:r>
              <w:t xml:space="preserve">1.271 +/- 0.589</w:t>
            </w:r>
          </w:p>
        </w:tc>
        <w:tc>
          <w:tcPr/>
          <w:p>
            <w:pPr>
              <w:pStyle w:val="Compact"/>
            </w:pPr>
            <w:r>
              <w:t xml:space="preserve">73.64 +/- 35.99</w:t>
            </w:r>
          </w:p>
        </w:tc>
        <w:tc>
          <w:tcPr/>
          <w:p>
            <w:pPr>
              <w:pStyle w:val="Compact"/>
            </w:pPr>
            <w:r>
              <w:t xml:space="preserve">1.985 +/- 0.958</w:t>
            </w:r>
          </w:p>
        </w:tc>
        <w:tc>
          <w:tcPr/>
          <w:p>
            <w:pPr>
              <w:pStyle w:val="Compact"/>
            </w:pPr>
            <w:r>
              <w:t xml:space="preserve">0.8443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Reading:</w:t>
      </w:r>
      <w:r>
        <w:t xml:space="preserve"> </w:t>
      </w:r>
      <w:r>
        <w:t xml:space="preserve">each row is one consistently selected trajectory per run, so the length-versus-safety trade-off can be read within a row - unlike per-objective minima, which may belong to different members of the front.</w:t>
      </w:r>
    </w:p>
    <w:bookmarkEnd w:id="12"/>
    <w:bookmarkStart w:id="13" w:name="X9707699b4da3b3162ed65d293ead92061085213"/>
    <w:p>
      <w:pPr>
        <w:pStyle w:val="Heading2"/>
      </w:pPr>
      <w:r>
        <w:t xml:space="preserve">Table S5. Wall-clock time vs. problem dimension (MO-ALA, mountain scenario)</w:t>
      </w:r>
    </w:p>
    <w:p>
      <w:pPr>
        <w:pStyle w:val="FirstParagraph"/>
      </w:pPr>
      <w:r>
        <w:t xml:space="preserve">N = 30, T = 500, N_arch = 50, one run per dimension.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N_w (waypoints)</w:t>
            </w:r>
          </w:p>
        </w:tc>
        <w:tc>
          <w:tcPr/>
          <w:p>
            <w:pPr>
              <w:pStyle w:val="Compact"/>
            </w:pPr>
            <w:r>
              <w:t xml:space="preserve">D = 3 N_w</w:t>
            </w:r>
          </w:p>
        </w:tc>
        <w:tc>
          <w:tcPr/>
          <w:p>
            <w:pPr>
              <w:pStyle w:val="Compact"/>
            </w:pPr>
            <w:r>
              <w:t xml:space="preserve">Wall-clock (s)</w:t>
            </w:r>
          </w:p>
        </w:tc>
        <w:tc>
          <w:tcPr/>
          <w:p>
            <w:pPr>
              <w:pStyle w:val="Compact"/>
            </w:pPr>
            <w:r>
              <w:t xml:space="preserve">Per-iteration (ms)</w:t>
            </w:r>
          </w:p>
        </w:tc>
        <w:tc>
          <w:tcPr/>
          <w:p>
            <w:pPr>
              <w:pStyle w:val="Compact"/>
            </w:pPr>
            <w:r>
              <w:t xml:space="preserve">HV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33.79</w:t>
            </w:r>
          </w:p>
        </w:tc>
        <w:tc>
          <w:tcPr/>
          <w:p>
            <w:pPr>
              <w:pStyle w:val="Compact"/>
            </w:pPr>
            <w:r>
              <w:t xml:space="preserve">67.576</w:t>
            </w:r>
          </w:p>
        </w:tc>
        <w:tc>
          <w:tcPr/>
          <w:p>
            <w:pPr>
              <w:pStyle w:val="Compact"/>
            </w:pPr>
            <w:r>
              <w:t xml:space="preserve">0.1386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52.97</w:t>
            </w:r>
          </w:p>
        </w:tc>
        <w:tc>
          <w:tcPr/>
          <w:p>
            <w:pPr>
              <w:pStyle w:val="Compact"/>
            </w:pPr>
            <w:r>
              <w:t xml:space="preserve">105.942</w:t>
            </w:r>
          </w:p>
        </w:tc>
        <w:tc>
          <w:tcPr/>
          <w:p>
            <w:pPr>
              <w:pStyle w:val="Compact"/>
            </w:pPr>
            <w:r>
              <w:t xml:space="preserve">0.1106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66.31</w:t>
            </w:r>
          </w:p>
        </w:tc>
        <w:tc>
          <w:tcPr/>
          <w:p>
            <w:pPr>
              <w:pStyle w:val="Compact"/>
            </w:pPr>
            <w:r>
              <w:t xml:space="preserve">132.619</w:t>
            </w:r>
          </w:p>
        </w:tc>
        <w:tc>
          <w:tcPr/>
          <w:p>
            <w:pPr>
              <w:pStyle w:val="Compact"/>
            </w:pPr>
            <w:r>
              <w:t xml:space="preserve">0.0662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Reading:</w:t>
      </w:r>
      <w:r>
        <w:t xml:space="preserve"> </w:t>
      </w:r>
      <w:r>
        <w:t xml:space="preserve">tripling the decision dimension (30 -&gt; 90) raises the wall-clock only 1.96x (33.79 s -&gt; 66.31 s), i.e. the cost grows sub-linearly in D under a fixed generation budget. The HV loss with dimension reflects the fixed 500-generation budget rather than a change in asymptotic behaviour.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2026-10-16T12:39:00Z</dcterms:created>
  <dcterms:modified xsi:type="dcterms:W3CDTF">2026-10-16T12:39:00Z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