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00581" w14:textId="464F54BA" w:rsidR="000E1BE0" w:rsidRPr="00B41747" w:rsidRDefault="00B41747">
      <w:pPr>
        <w:rPr>
          <w:b/>
          <w:bCs/>
          <w:sz w:val="28"/>
          <w:szCs w:val="28"/>
          <w:lang w:val="en-US"/>
        </w:rPr>
      </w:pPr>
      <w:r w:rsidRPr="00B41747">
        <w:rPr>
          <w:b/>
          <w:bCs/>
          <w:sz w:val="28"/>
          <w:szCs w:val="28"/>
          <w:lang w:val="en-US"/>
        </w:rPr>
        <w:t>Credit Risk Prediction</w:t>
      </w:r>
    </w:p>
    <w:p w14:paraId="0E2AEA63" w14:textId="4AA0347D" w:rsidR="00B41747" w:rsidRDefault="00B41747">
      <w:pPr>
        <w:rPr>
          <w:lang w:val="en-US"/>
        </w:rPr>
      </w:pPr>
      <w:r>
        <w:rPr>
          <w:lang w:val="en-US"/>
        </w:rPr>
        <w:t>One popular use of machine learning is the prediction of credit risks in issuing housing loans. This was a major concern during the Lehman crisis</w:t>
      </w:r>
      <w:r w:rsidR="0038635C">
        <w:rPr>
          <w:rStyle w:val="FootnoteReference"/>
          <w:lang w:val="en-US"/>
        </w:rPr>
        <w:footnoteReference w:id="1"/>
      </w:r>
      <w:r>
        <w:rPr>
          <w:lang w:val="en-US"/>
        </w:rPr>
        <w:t>, when the default of several subprime mortgages causes the eventual collapse of collateral loan</w:t>
      </w:r>
      <w:r w:rsidR="00B4112A">
        <w:rPr>
          <w:lang w:val="en-US"/>
        </w:rPr>
        <w:t>. The bank has collected past data on customers’ default behaviour and their characteristics in the data set HMEQ – home equity.</w:t>
      </w:r>
    </w:p>
    <w:p w14:paraId="303FE8B4" w14:textId="09657AB6" w:rsidR="00B41747" w:rsidRDefault="00B41747">
      <w:pPr>
        <w:rPr>
          <w:lang w:val="en-US"/>
        </w:rPr>
      </w:pPr>
      <w:r>
        <w:rPr>
          <w:lang w:val="en-US"/>
        </w:rPr>
        <w:t>As a newly hired machine learning engineer, you have been tasked to formulate a policy outline (&lt;1 page) to mitigate this risk to the bank. In your outline, you must:</w:t>
      </w:r>
    </w:p>
    <w:p w14:paraId="0A44BFDB" w14:textId="3C57157B" w:rsidR="00B962EB" w:rsidRDefault="00B41747" w:rsidP="00B96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a predictive model. You have the </w:t>
      </w:r>
      <w:r w:rsidR="0038635C">
        <w:rPr>
          <w:lang w:val="en-US"/>
        </w:rPr>
        <w:t>choice to select any model in mind. Some options are logistic regression, decision trees, random forests, ensemble models</w:t>
      </w:r>
      <w:r w:rsidR="00B962EB">
        <w:rPr>
          <w:lang w:val="en-US"/>
        </w:rPr>
        <w:t xml:space="preserve"> etc.</w:t>
      </w:r>
    </w:p>
    <w:p w14:paraId="0602AD11" w14:textId="630F8E72" w:rsidR="00B4112A" w:rsidRPr="00B4112A" w:rsidRDefault="00B4112A" w:rsidP="007265FC">
      <w:pPr>
        <w:pStyle w:val="ListParagraph"/>
        <w:numPr>
          <w:ilvl w:val="0"/>
          <w:numId w:val="1"/>
        </w:numPr>
        <w:rPr>
          <w:lang w:val="en-US"/>
        </w:rPr>
      </w:pPr>
      <w:r w:rsidRPr="00B4112A">
        <w:rPr>
          <w:lang w:val="en-US"/>
        </w:rPr>
        <w:t>Report your results in a confusion matrix. The bank is most concerned about recall since any default would be detrimental to the bank.</w:t>
      </w:r>
      <w:r>
        <w:rPr>
          <w:lang w:val="en-US"/>
        </w:rPr>
        <w:t xml:space="preserve"> </w:t>
      </w:r>
      <w:r w:rsidRPr="00B4112A">
        <w:rPr>
          <w:lang w:val="en-US"/>
        </w:rPr>
        <w:t xml:space="preserve">As such, you may want to tune your model in this manner. </w:t>
      </w:r>
    </w:p>
    <w:p w14:paraId="4AD33570" w14:textId="376C8C8B" w:rsidR="0038635C" w:rsidRPr="00B962EB" w:rsidRDefault="00B962EB" w:rsidP="00B962EB">
      <w:pPr>
        <w:pStyle w:val="ListParagraph"/>
        <w:numPr>
          <w:ilvl w:val="0"/>
          <w:numId w:val="1"/>
        </w:numPr>
        <w:rPr>
          <w:lang w:val="en-US"/>
        </w:rPr>
      </w:pPr>
      <w:r w:rsidRPr="00B962EB">
        <w:rPr>
          <w:lang w:val="en-US"/>
        </w:rPr>
        <w:t>Determine which are the key risk factors that decide whether a customer default or not.</w:t>
      </w:r>
    </w:p>
    <w:p w14:paraId="321DB19E" w14:textId="4DBD70FD" w:rsidR="0038635C" w:rsidRDefault="0038635C" w:rsidP="00B41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model to predict which </w:t>
      </w:r>
      <w:r w:rsidR="00B962EB">
        <w:rPr>
          <w:lang w:val="en-US"/>
        </w:rPr>
        <w:t xml:space="preserve">of the individuals </w:t>
      </w:r>
      <w:r w:rsidR="00175D86">
        <w:rPr>
          <w:lang w:val="en-US"/>
        </w:rPr>
        <w:t xml:space="preserve">in the hmeq_pred.csv </w:t>
      </w:r>
      <w:r w:rsidR="00B962EB">
        <w:rPr>
          <w:lang w:val="en-US"/>
        </w:rPr>
        <w:t>would probably ‘default’.</w:t>
      </w:r>
      <w:r>
        <w:rPr>
          <w:lang w:val="en-US"/>
        </w:rPr>
        <w:t xml:space="preserve"> </w:t>
      </w:r>
    </w:p>
    <w:p w14:paraId="4A189649" w14:textId="6A52F47D" w:rsidR="0038635C" w:rsidRDefault="0038635C" w:rsidP="0038635C">
      <w:pPr>
        <w:rPr>
          <w:lang w:val="en-US"/>
        </w:rPr>
      </w:pPr>
      <w:r>
        <w:rPr>
          <w:lang w:val="en-US"/>
        </w:rPr>
        <w:t>The dataset for the project is hmeq.csv. It contains the following columns</w:t>
      </w:r>
      <w:r w:rsidR="00B962EB">
        <w:rPr>
          <w:lang w:val="en-US"/>
        </w:rPr>
        <w:t xml:space="preserve">. Note that some data is missing for certain rows. </w:t>
      </w:r>
    </w:p>
    <w:p w14:paraId="6B9CE140" w14:textId="056A17D0" w:rsidR="0038635C" w:rsidRPr="0038635C" w:rsidRDefault="0038635C" w:rsidP="0038635C">
      <w:pPr>
        <w:rPr>
          <w:lang w:val="en-US"/>
        </w:rPr>
      </w:pPr>
      <w:r w:rsidRPr="0038635C">
        <w:rPr>
          <w:rStyle w:val="Strong"/>
          <w:rFonts w:ascii="Roboto" w:hAnsi="Roboto"/>
          <w:color w:val="0C3881"/>
          <w:sz w:val="28"/>
          <w:szCs w:val="28"/>
          <w:shd w:val="clear" w:color="auto" w:fill="FFFFFF"/>
        </w:rPr>
        <w:t>Data Set HMEQ</w:t>
      </w:r>
      <w:r w:rsidRPr="0038635C">
        <w:rPr>
          <w:rFonts w:ascii="Roboto" w:hAnsi="Roboto"/>
          <w:color w:val="888888"/>
        </w:rPr>
        <w:br/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t>The data set HMEQ reports characteristics and delinquency information for 5,960 home equity loans. A home equity loan is a loan where the obligor uses the equity of his or her home as the underlying collateral. The data set has the following characteristics: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br/>
      </w:r>
      <w:r w:rsidRPr="00B962EB">
        <w:rPr>
          <w:rFonts w:ascii="Segoe UI Emoji" w:hAnsi="Segoe UI Emoji" w:cs="Segoe UI Emoji"/>
          <w:color w:val="3F3F3F"/>
          <w:sz w:val="21"/>
          <w:szCs w:val="21"/>
          <w:shd w:val="clear" w:color="auto" w:fill="FFFFFF"/>
        </w:rPr>
        <w:t>◾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t xml:space="preserve"> BAD: 1 = applicant defaulted on loan or seriously delinquent; 0 = applicant paid loan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br/>
      </w:r>
      <w:r w:rsidRPr="00B962EB">
        <w:rPr>
          <w:rFonts w:ascii="Segoe UI Emoji" w:hAnsi="Segoe UI Emoji" w:cs="Segoe UI Emoji"/>
          <w:color w:val="3F3F3F"/>
          <w:sz w:val="21"/>
          <w:szCs w:val="21"/>
          <w:shd w:val="clear" w:color="auto" w:fill="FFFFFF"/>
        </w:rPr>
        <w:t>◾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t xml:space="preserve"> LOAN: Amount of the loan request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br/>
      </w:r>
      <w:r w:rsidRPr="00B962EB">
        <w:rPr>
          <w:rFonts w:ascii="Segoe UI Emoji" w:hAnsi="Segoe UI Emoji" w:cs="Segoe UI Emoji"/>
          <w:color w:val="3F3F3F"/>
          <w:sz w:val="21"/>
          <w:szCs w:val="21"/>
          <w:shd w:val="clear" w:color="auto" w:fill="FFFFFF"/>
        </w:rPr>
        <w:t>◾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t xml:space="preserve"> MORTDUE: Amount due on existing mortgage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br/>
      </w:r>
      <w:r w:rsidRPr="00B962EB">
        <w:rPr>
          <w:rFonts w:ascii="Segoe UI Emoji" w:hAnsi="Segoe UI Emoji" w:cs="Segoe UI Emoji"/>
          <w:color w:val="3F3F3F"/>
          <w:sz w:val="21"/>
          <w:szCs w:val="21"/>
          <w:shd w:val="clear" w:color="auto" w:fill="FFFFFF"/>
        </w:rPr>
        <w:t>◾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t xml:space="preserve"> VALUE: Value of current property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br/>
      </w:r>
      <w:r w:rsidRPr="00B962EB">
        <w:rPr>
          <w:rFonts w:ascii="Segoe UI Emoji" w:hAnsi="Segoe UI Emoji" w:cs="Segoe UI Emoji"/>
          <w:color w:val="3F3F3F"/>
          <w:sz w:val="21"/>
          <w:szCs w:val="21"/>
          <w:shd w:val="clear" w:color="auto" w:fill="FFFFFF"/>
        </w:rPr>
        <w:t>◾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t xml:space="preserve"> REASON: DebtCon = debt consolidation; HomeImp = home improvement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br/>
      </w:r>
      <w:r w:rsidRPr="00B962EB">
        <w:rPr>
          <w:rFonts w:ascii="Segoe UI Emoji" w:hAnsi="Segoe UI Emoji" w:cs="Segoe UI Emoji"/>
          <w:color w:val="3F3F3F"/>
          <w:sz w:val="21"/>
          <w:szCs w:val="21"/>
          <w:shd w:val="clear" w:color="auto" w:fill="FFFFFF"/>
        </w:rPr>
        <w:t>◾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t xml:space="preserve"> JOB: Occupational categories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br/>
      </w:r>
      <w:r w:rsidRPr="00B962EB">
        <w:rPr>
          <w:rFonts w:ascii="Segoe UI Emoji" w:hAnsi="Segoe UI Emoji" w:cs="Segoe UI Emoji"/>
          <w:color w:val="3F3F3F"/>
          <w:sz w:val="21"/>
          <w:szCs w:val="21"/>
          <w:shd w:val="clear" w:color="auto" w:fill="FFFFFF"/>
        </w:rPr>
        <w:t>◾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t xml:space="preserve"> YOJ: Years at present job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br/>
      </w:r>
      <w:r w:rsidRPr="00B962EB">
        <w:rPr>
          <w:rFonts w:ascii="Segoe UI Emoji" w:hAnsi="Segoe UI Emoji" w:cs="Segoe UI Emoji"/>
          <w:color w:val="3F3F3F"/>
          <w:sz w:val="21"/>
          <w:szCs w:val="21"/>
          <w:shd w:val="clear" w:color="auto" w:fill="FFFFFF"/>
        </w:rPr>
        <w:t>◾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t xml:space="preserve"> DEROG: Number of major derogatory reports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br/>
      </w:r>
      <w:r w:rsidRPr="00B962EB">
        <w:rPr>
          <w:rFonts w:ascii="Segoe UI Emoji" w:hAnsi="Segoe UI Emoji" w:cs="Segoe UI Emoji"/>
          <w:color w:val="3F3F3F"/>
          <w:sz w:val="21"/>
          <w:szCs w:val="21"/>
          <w:shd w:val="clear" w:color="auto" w:fill="FFFFFF"/>
        </w:rPr>
        <w:t>◾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t xml:space="preserve"> DELINQ: Number of delinquent credit lines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br/>
      </w:r>
      <w:r w:rsidRPr="00B962EB">
        <w:rPr>
          <w:rFonts w:ascii="Segoe UI Emoji" w:hAnsi="Segoe UI Emoji" w:cs="Segoe UI Emoji"/>
          <w:color w:val="3F3F3F"/>
          <w:sz w:val="21"/>
          <w:szCs w:val="21"/>
          <w:shd w:val="clear" w:color="auto" w:fill="FFFFFF"/>
        </w:rPr>
        <w:t>◾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t xml:space="preserve"> CLAGE: Age of oldest credit line in months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br/>
      </w:r>
      <w:r w:rsidRPr="00B962EB">
        <w:rPr>
          <w:rFonts w:ascii="Segoe UI Emoji" w:hAnsi="Segoe UI Emoji" w:cs="Segoe UI Emoji"/>
          <w:color w:val="3F3F3F"/>
          <w:sz w:val="21"/>
          <w:szCs w:val="21"/>
          <w:shd w:val="clear" w:color="auto" w:fill="FFFFFF"/>
        </w:rPr>
        <w:t>◾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t xml:space="preserve"> NINQ: Number of recent credit inquiries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br/>
      </w:r>
      <w:r w:rsidRPr="00B962EB">
        <w:rPr>
          <w:rFonts w:ascii="Segoe UI Emoji" w:hAnsi="Segoe UI Emoji" w:cs="Segoe UI Emoji"/>
          <w:color w:val="3F3F3F"/>
          <w:sz w:val="21"/>
          <w:szCs w:val="21"/>
          <w:shd w:val="clear" w:color="auto" w:fill="FFFFFF"/>
        </w:rPr>
        <w:t>◾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t xml:space="preserve"> CLNO: Number of credit lines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br/>
      </w:r>
      <w:r w:rsidRPr="00B962EB">
        <w:rPr>
          <w:rFonts w:ascii="Segoe UI Emoji" w:hAnsi="Segoe UI Emoji" w:cs="Segoe UI Emoji"/>
          <w:color w:val="3F3F3F"/>
          <w:sz w:val="21"/>
          <w:szCs w:val="21"/>
          <w:shd w:val="clear" w:color="auto" w:fill="FFFFFF"/>
        </w:rPr>
        <w:t>◾</w:t>
      </w:r>
      <w:r w:rsidRPr="00B962EB">
        <w:rPr>
          <w:rFonts w:ascii="Roboto" w:hAnsi="Roboto"/>
          <w:color w:val="3F3F3F"/>
          <w:sz w:val="21"/>
          <w:szCs w:val="21"/>
          <w:shd w:val="clear" w:color="auto" w:fill="FFFFFF"/>
        </w:rPr>
        <w:t xml:space="preserve"> DEBTINC: Debt-to-income ratio</w:t>
      </w:r>
    </w:p>
    <w:sectPr w:rsidR="0038635C" w:rsidRPr="00386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53741" w14:textId="77777777" w:rsidR="00E92905" w:rsidRDefault="00E92905" w:rsidP="0038635C">
      <w:pPr>
        <w:spacing w:after="0" w:line="240" w:lineRule="auto"/>
      </w:pPr>
      <w:r>
        <w:separator/>
      </w:r>
    </w:p>
  </w:endnote>
  <w:endnote w:type="continuationSeparator" w:id="0">
    <w:p w14:paraId="2154FA65" w14:textId="77777777" w:rsidR="00E92905" w:rsidRDefault="00E92905" w:rsidP="00386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B1496" w14:textId="77777777" w:rsidR="00E92905" w:rsidRDefault="00E92905" w:rsidP="0038635C">
      <w:pPr>
        <w:spacing w:after="0" w:line="240" w:lineRule="auto"/>
      </w:pPr>
      <w:r>
        <w:separator/>
      </w:r>
    </w:p>
  </w:footnote>
  <w:footnote w:type="continuationSeparator" w:id="0">
    <w:p w14:paraId="78778A6D" w14:textId="77777777" w:rsidR="00E92905" w:rsidRDefault="00E92905" w:rsidP="0038635C">
      <w:pPr>
        <w:spacing w:after="0" w:line="240" w:lineRule="auto"/>
      </w:pPr>
      <w:r>
        <w:continuationSeparator/>
      </w:r>
    </w:p>
  </w:footnote>
  <w:footnote w:id="1">
    <w:p w14:paraId="4D96D691" w14:textId="02B41276" w:rsidR="0038635C" w:rsidRPr="0038635C" w:rsidRDefault="0038635C" w:rsidP="0038635C">
      <w:pPr>
        <w:pStyle w:val="comp"/>
        <w:shd w:val="clear" w:color="auto" w:fill="FFFFFF"/>
        <w:spacing w:before="0" w:beforeAutospacing="0"/>
        <w:rPr>
          <w:rFonts w:ascii="Arial" w:hAnsi="Arial" w:cs="Arial"/>
          <w:color w:val="111111"/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38635C">
        <w:rPr>
          <w:rFonts w:ascii="Arial" w:hAnsi="Arial" w:cs="Arial"/>
          <w:color w:val="111111"/>
          <w:sz w:val="16"/>
          <w:szCs w:val="16"/>
        </w:rPr>
        <w:t>On Sept. 15, 2008, </w:t>
      </w:r>
      <w:hyperlink r:id="rId1" w:history="1">
        <w:r w:rsidRPr="0038635C">
          <w:rPr>
            <w:rStyle w:val="Hyperlink"/>
            <w:rFonts w:ascii="Arial" w:hAnsi="Arial" w:cs="Arial"/>
            <w:color w:val="2C40D0"/>
            <w:sz w:val="16"/>
            <w:szCs w:val="16"/>
          </w:rPr>
          <w:t>Lehman Brothers</w:t>
        </w:r>
      </w:hyperlink>
      <w:r w:rsidRPr="0038635C">
        <w:rPr>
          <w:rFonts w:ascii="Arial" w:hAnsi="Arial" w:cs="Arial"/>
          <w:color w:val="111111"/>
          <w:sz w:val="16"/>
          <w:szCs w:val="16"/>
        </w:rPr>
        <w:t> filed for bankruptcy.</w:t>
      </w:r>
      <w:r w:rsidRPr="0038635C">
        <w:rPr>
          <w:rStyle w:val="mntl-inline-citation"/>
          <w:rFonts w:ascii="Arial" w:hAnsi="Arial" w:cs="Arial"/>
          <w:color w:val="0000EE"/>
          <w:spacing w:val="17"/>
          <w:sz w:val="16"/>
          <w:szCs w:val="16"/>
          <w:vertAlign w:val="superscript"/>
        </w:rPr>
        <w:t>1</w:t>
      </w:r>
      <w:r w:rsidRPr="0038635C">
        <w:rPr>
          <w:rFonts w:ascii="Tahoma" w:hAnsi="Tahoma" w:cs="Tahoma"/>
          <w:color w:val="111111"/>
          <w:sz w:val="16"/>
          <w:szCs w:val="16"/>
        </w:rPr>
        <w:t>﻿</w:t>
      </w:r>
      <w:r w:rsidRPr="0038635C">
        <w:rPr>
          <w:rFonts w:ascii="Arial" w:hAnsi="Arial" w:cs="Arial"/>
          <w:color w:val="111111"/>
          <w:sz w:val="16"/>
          <w:szCs w:val="16"/>
        </w:rPr>
        <w:t xml:space="preserve"> It was a sombre reminder that nothing is forever—even in the richness of the financial and investment worlds.Lehman's demise also made it the largest victim of the U.S. subprime mortgage-induced </w:t>
      </w:r>
      <w:hyperlink r:id="rId2" w:history="1">
        <w:r w:rsidRPr="0038635C">
          <w:rPr>
            <w:rStyle w:val="Hyperlink"/>
            <w:rFonts w:ascii="Arial" w:hAnsi="Arial" w:cs="Arial"/>
            <w:color w:val="2C40D0"/>
            <w:sz w:val="16"/>
            <w:szCs w:val="16"/>
          </w:rPr>
          <w:t>financial crisis</w:t>
        </w:r>
      </w:hyperlink>
      <w:r w:rsidRPr="0038635C">
        <w:rPr>
          <w:rFonts w:ascii="Arial" w:hAnsi="Arial" w:cs="Arial"/>
          <w:color w:val="111111"/>
          <w:sz w:val="16"/>
          <w:szCs w:val="16"/>
        </w:rPr>
        <w:t> that swept through global financial markets in 2008. Lehman's collapse was a seminal event that greatly intensified the 2008 crisis and contributed to the erosion of close to $10 trillion in </w:t>
      </w:r>
      <w:hyperlink r:id="rId3" w:history="1">
        <w:r w:rsidRPr="0038635C">
          <w:rPr>
            <w:rStyle w:val="Hyperlink"/>
            <w:rFonts w:ascii="Arial" w:hAnsi="Arial" w:cs="Arial"/>
            <w:color w:val="2C40D0"/>
            <w:sz w:val="16"/>
            <w:szCs w:val="16"/>
          </w:rPr>
          <w:t>market capitalization</w:t>
        </w:r>
      </w:hyperlink>
      <w:r w:rsidRPr="0038635C">
        <w:rPr>
          <w:rFonts w:ascii="Arial" w:hAnsi="Arial" w:cs="Arial"/>
          <w:color w:val="111111"/>
          <w:sz w:val="16"/>
          <w:szCs w:val="16"/>
        </w:rPr>
        <w:t> from global </w:t>
      </w:r>
      <w:hyperlink r:id="rId4" w:history="1">
        <w:r w:rsidRPr="0038635C">
          <w:rPr>
            <w:rStyle w:val="Hyperlink"/>
            <w:rFonts w:ascii="Arial" w:hAnsi="Arial" w:cs="Arial"/>
            <w:color w:val="2C40D0"/>
            <w:sz w:val="16"/>
            <w:szCs w:val="16"/>
          </w:rPr>
          <w:t>equit</w:t>
        </w:r>
      </w:hyperlink>
      <w:r w:rsidRPr="0038635C">
        <w:rPr>
          <w:rFonts w:ascii="Arial" w:hAnsi="Arial" w:cs="Arial"/>
          <w:color w:val="111111"/>
          <w:sz w:val="16"/>
          <w:szCs w:val="16"/>
        </w:rPr>
        <w:t>y.</w:t>
      </w:r>
    </w:p>
    <w:p w14:paraId="0E4B2757" w14:textId="2EB247F4" w:rsidR="0038635C" w:rsidRPr="0038635C" w:rsidRDefault="0038635C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64F7E"/>
    <w:multiLevelType w:val="hybridMultilevel"/>
    <w:tmpl w:val="385A1F04"/>
    <w:lvl w:ilvl="0" w:tplc="C06215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47"/>
    <w:rsid w:val="000E1BE0"/>
    <w:rsid w:val="00175D86"/>
    <w:rsid w:val="0038635C"/>
    <w:rsid w:val="00B4112A"/>
    <w:rsid w:val="00B41747"/>
    <w:rsid w:val="00B962EB"/>
    <w:rsid w:val="00E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3D44"/>
  <w15:chartTrackingRefBased/>
  <w15:docId w15:val="{73D44939-47A5-4038-83AE-F0C573E6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74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863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3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635C"/>
    <w:rPr>
      <w:vertAlign w:val="superscript"/>
    </w:rPr>
  </w:style>
  <w:style w:type="paragraph" w:customStyle="1" w:styleId="comp">
    <w:name w:val="comp"/>
    <w:basedOn w:val="Normal"/>
    <w:rsid w:val="00386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635C"/>
    <w:rPr>
      <w:color w:val="0000FF"/>
      <w:u w:val="single"/>
    </w:rPr>
  </w:style>
  <w:style w:type="character" w:customStyle="1" w:styleId="mntl-inline-citation">
    <w:name w:val="mntl-inline-citation"/>
    <w:basedOn w:val="DefaultParagraphFont"/>
    <w:rsid w:val="0038635C"/>
  </w:style>
  <w:style w:type="character" w:styleId="Strong">
    <w:name w:val="Strong"/>
    <w:basedOn w:val="DefaultParagraphFont"/>
    <w:uiPriority w:val="22"/>
    <w:qFormat/>
    <w:rsid w:val="003863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nvestopedia.com/terms/m/marketcapitalization.asp" TargetMode="External"/><Relationship Id="rId2" Type="http://schemas.openxmlformats.org/officeDocument/2006/relationships/hyperlink" Target="https://www.investopedia.com/terms/f/financial-crisis.asp" TargetMode="External"/><Relationship Id="rId1" Type="http://schemas.openxmlformats.org/officeDocument/2006/relationships/hyperlink" Target="https://www.investopedia.com/terms/l/lehman-brothers.asp" TargetMode="External"/><Relationship Id="rId4" Type="http://schemas.openxmlformats.org/officeDocument/2006/relationships/hyperlink" Target="https://www.investopedia.com/terms/e/equitymarke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1F47F-238C-4E52-BC93-2A6B9468B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Yew Chong</dc:creator>
  <cp:keywords/>
  <dc:description/>
  <cp:lastModifiedBy>Tham Yew Chong</cp:lastModifiedBy>
  <cp:revision>3</cp:revision>
  <dcterms:created xsi:type="dcterms:W3CDTF">2020-09-15T01:10:00Z</dcterms:created>
  <dcterms:modified xsi:type="dcterms:W3CDTF">2020-09-15T01:35:00Z</dcterms:modified>
</cp:coreProperties>
</file>