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2" w:name="_Toc5048497"/>
      <w:bookmarkStart w:id="83" w:name="_Toc1564"/>
      <w:r>
        <w:rPr>
          <w:rFonts w:hint="eastAsia"/>
        </w:rPr>
        <w:t>13--中国人民银行关于印发收缴、鉴定假币专用凭证印章样式及使用说明的通知</w:t>
      </w:r>
      <w:r>
        <w:rPr>
          <w:rFonts w:hint="eastAsia"/>
        </w:rPr>
        <w:br w:type="textWrapping"/>
      </w:r>
      <w:r>
        <w:rPr>
          <w:rFonts w:hint="eastAsia"/>
        </w:rPr>
        <w:t>（银发〔2003〕104号）</w:t>
      </w:r>
      <w:bookmarkEnd w:id="82"/>
      <w:bookmarkEnd w:id="83"/>
    </w:p>
    <w:p>
      <w:pPr>
        <w:widowControl/>
        <w:shd w:val="clear" w:color="auto" w:fill="FFFFFF"/>
        <w:spacing w:line="456" w:lineRule="auto"/>
        <w:jc w:val="left"/>
        <w:rPr>
          <w:rFonts w:hint="eastAsia" w:ascii="仿宋" w:hAnsi="仿宋" w:eastAsia="仿宋" w:cs="仿宋"/>
          <w:kern w:val="0"/>
          <w:szCs w:val="21"/>
        </w:rPr>
      </w:pPr>
      <w:r>
        <w:rPr>
          <w:rFonts w:hint="eastAsia" w:ascii="仿宋" w:hAnsi="仿宋" w:eastAsia="仿宋" w:cs="仿宋"/>
          <w:kern w:val="0"/>
          <w:szCs w:val="21"/>
        </w:rPr>
        <w:t>中国人民银行各分行、营业管理部，各省会首府城市中心支行，深圳市中心支行：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中国人民银行假币收缴、鉴定管理办法》已于2003年4月9日以中国人民银行令[2003]第4号颁布，并将于2003年7月1日正式施行。按照《中国人民银行假币收缴、鉴定管理办法》（以下简称《办法》）规定，办理货币存取款和外币兑换业务的金融机构在办理假币收缴和鉴定业务时，将启用一些新的凭证（证书）、印章以及专用封装袋。现将这些专用凭证（证书）、印章、装具的样式印发给你们，并就其制作和使用的有关事项通知如下：</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一、专用凭证（证书）、印章、装具的种类、样式与使用说明</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《办法》规定办理收缴、鉴定假币业务时使用的专用凭证（证书）、印章、装具共4类8种。分别为：</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（一）专用凭证</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假币收缴凭证》。金融机构收缴假币时使用。该凭证为中英文对照，一式二联，第一联由收缴单位留底，第二联交被收缴入。凭证外缘尺寸为20cm（长）×14.5cm（宽）（样式详见附件1）。收缴假币时按币种、版别、券别分别填写，相同版别、券别和面额，且冠字号码重号或连号的，可填写在一张凭证上。</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2．《假人民币没收收据》。金融机构没收假人民币时使用。该凭证为中英文对照，一式三联，第一联由没收单位留底，第二联交原收缴单位，第三联交被没收人。凭证外缘尺寸为20cm（长）×14.5cm（宽）（样式详见附件2）。填写方式同《假币收缴凭证》。</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3．《货币真伪鉴定书》。金融机构鉴定货币真伪时使用。《货币真伪鉴定书》为一式三联，第一联由鉴定单位留底，第二联交原收缴单位，第三联交鉴定申请人。采用16开纸张印制（样式详见附件3）。鉴定一次填写一张鉴定书；如一次鉴定的货币有不同面额或版别，应按面额或版别分别填写。</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（二）资格证书</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中国人民银行授权书》。该授权书是人民银行授权有货币真伪鉴定技术与条件的商业银行业务机构可以受理货币真伪鉴定服务的资质证明（样式详见附件4）。其规格和使用方法仍按《中国人民银行关于颁发＜中国人民银行授权书＞的通知》（银发[2000]89号）的有关规定执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2．《反假货币工作人员资格证书》。该证书是金融机构工作人员办理假币收缴的资格证明，由人民银行统一印制和颁发。金融机构反假业务人员必须经过专门培训，并经考试合格后方能取得该资格证书。工作人员调离反假货币岗位应收回此证。</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（三）专用印章</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假币”印章。金融机构收缴假币时在假币或专用封装袋上加盖戳记的专用印章（样式详见附件5）。其规格和使用方法仍按《中国人民银行关于下发（假币收缴凭证）和“假币”印章样式的通知》（银发[2000]90号）的有关规定执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2．假币鉴定专用章。为《货币真伪鉴定书》专用印章。该章为圆形，直径3.8cm（样式详见附件6）。专用章采用红色油墨，加盖在《货币真伪鉴定书》中“鉴定结果”栏的右下方。</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（四）专用装具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收缴假币使用的专用封装袋，规格为22cm（长）×14cm（宽）×1.5cm（高），材质为厚牛皮纸，封装袋中间的透明区为塑料薄膜（样式详见附件7）。</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二、专用证、章、装具的印制与分发</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中国人民银行授权书》、《假币收缴凭证》、《货币真伪鉴定书》和《假人民币没收收据》由人民银行各分行、营业管理部、省会（首府）城市中心支行、深圳市中心支行按照本通知所附样式统一印制。《中国人民银行授权书》的颁发和管理仍按《中国人民银行关于颁发＜中国人民银行授权书＞的通知》（银发[2000]89号）的有关规定执行。《假币收缴凭证》的分发和管理，仍按照《中国人民银行关于下发＜假币收缴凭证＞和“假币”印章样式的通知》（银发[2000]90号）有关规定执行。《货币真伪鉴定书》和《假人民币没收收据》的分发与管理，比照上述文件的有关规定执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“假币”印章、假币鉴定专用章和收缴假币专用封装袋由办理货币存取款和外币兑换业务的金融机构按照本通知要求和所附样式自行制作。</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《反假货币工作人员资格证书》由人民银行总行统一印制，由人民银行各分行、营业管理部、省会（首府）城市中心支行、深圳市中心支行向辖区内取得反假货币上岗资格的人员颁发。</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三、启用日期</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中国人民银行授权书》、《假币收缴凭证》、“假币”印章已于2000年5月1日开始使用，2003年7月1日起改为使用本通知所附样式。《货币真伪鉴定书》、《假人民币没收收据》、假币鉴定专用章和收缴假币专用封装袋，以及《反假货币工作人员资格证书》于2003年7月1日正式启用。</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启用新的假币收缴、鉴定专用凭证（证书）、印章和装具是执行《办法》，规范假币收缴、鉴定程序的重要措施。人民银行各分支行应高度重视，认真组织，做好假币收缴、鉴定的各种凭证（证书）、印章和装具的制作、分发、启用与管理工作。执行中如有问题和建议，请及时向总行货币金银局报告。</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请人民银行各分行、营业管理部、省会（首府）城市中心支行、深圳市中心支行将本通知翻印至辖区内城市商业银行、农村商业银行和城乡信用社。</w:t>
      </w:r>
    </w:p>
    <w:p>
      <w:pPr>
        <w:widowControl/>
        <w:jc w:val="left"/>
        <w:rPr>
          <w:rFonts w:hint="eastAsia" w:ascii="仿宋" w:hAnsi="仿宋" w:eastAsia="仿宋" w:cs="仿宋"/>
          <w:kern w:val="0"/>
          <w:szCs w:val="21"/>
        </w:rPr>
      </w:pPr>
      <w:r>
        <w:rPr>
          <w:rFonts w:hint="eastAsia" w:ascii="仿宋" w:hAnsi="仿宋" w:eastAsia="仿宋" w:cs="仿宋"/>
          <w:kern w:val="0"/>
          <w:szCs w:val="21"/>
        </w:rPr>
        <w:br w:type="page"/>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附件1：</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（假币收缴凭证正面样式）</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假币收缴凭证</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收缴单位（盖章）　 年 月 日编号：000000</w:t>
      </w:r>
    </w:p>
    <w:tbl>
      <w:tblPr>
        <w:tblStyle w:val="27"/>
        <w:tblW w:w="8290" w:type="dxa"/>
        <w:jc w:val="center"/>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662"/>
        <w:gridCol w:w="2125"/>
        <w:gridCol w:w="1486"/>
        <w:gridCol w:w="301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持有人（或交款单位）：Seized from：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身份证（或其他有效证件）号码：Identification card or other valid document number of the counterfeit currency holder：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1662"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币种：Currency：</w:t>
            </w:r>
          </w:p>
        </w:tc>
        <w:tc>
          <w:tcPr>
            <w:tcW w:w="2125"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券别：Denomination：</w:t>
            </w:r>
          </w:p>
        </w:tc>
        <w:tc>
          <w:tcPr>
            <w:tcW w:w="1486"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版别： Series：</w:t>
            </w:r>
          </w:p>
        </w:tc>
        <w:tc>
          <w:tcPr>
            <w:tcW w:w="301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冠字号码：Counterfeit currency number：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3787"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数量： （张、枚）Amount： （Sheet）</w:t>
            </w:r>
          </w:p>
        </w:tc>
        <w:tc>
          <w:tcPr>
            <w:tcW w:w="4503"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合计面额：Total face value：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假币来源及制作方法：The origin of the counterfeit currency and the producing method：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持有人（或交款单位经办人）签字：Signature of the Counterfeit currency holder：</w:t>
            </w:r>
          </w:p>
        </w:tc>
      </w:tr>
    </w:tbl>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经办：                                             复核：</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凭证要素说明：</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1．此凭证一式二联，第一联为收缴单位留存（字体和边框为黑色）；第二联交持币人收存（字体和边框为红色），第二联背面印“说明”内容（附后），作为向持币人的告知项目。</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2．“交款单位”是指交存现金的企事业单位。</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3．“版别”是指纸币、硬币上的年号。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4．“制作方式”是指假币的防伪和变造方法，如机制、拓印、复印挖补等。</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5．凭证编号为没收单位办理该业务流水号。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（假币收缴凭证第二联背面样式）</w:t>
      </w:r>
    </w:p>
    <w:tbl>
      <w:tblPr>
        <w:tblStyle w:val="27"/>
        <w:tblW w:w="8290" w:type="dxa"/>
        <w:jc w:val="center"/>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29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jc w:val="center"/>
        </w:trPr>
        <w:tc>
          <w:tcPr>
            <w:tcW w:w="829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说明：1．根据《中国人民银行假币收缴、鉴定管理办法》有关规定，收缴持有人所持假币。2．持有人如对收缴的假币有异议，可在3个工作日内持本凭证书面向中国人民银行当地分支机构或中国人民银行授权的当地鉴定机构申请鉴定。3．持有人如对收缴程序有异议，可在60天内持本凭证向中国人民银行当地分（支）行提出行政复议或依法提起行政诉讼。Note：1．The counterfeit currency is seized from its holders in accordance with the “Administrative Rules of the People’s Bank of China for the Seizure and Verification of Counterfeit Currency”.2．If the holder disagrees with the counterfeit nature of the seized currency，he/she may apply in writing with this receipt to the loxal branch office （s） of the People’s Bank of China or local institutions authorized by the People’s Bank of China for verification of its authenticity within 3 working days.3．If the holder disagree with the process of seizing the counterfeit currency after receiving the authenticity verification result of the seized currency，he/she may present this receipt and file an administrative appeal with the local branch office （s） of the People’s Bank of China or an administrative suit to the local court within 60 days.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jc w:val="center"/>
        </w:trPr>
        <w:tc>
          <w:tcPr>
            <w:tcW w:w="829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ind w:firstLine="361"/>
              <w:jc w:val="left"/>
              <w:rPr>
                <w:rFonts w:hint="eastAsia" w:ascii="仿宋" w:hAnsi="仿宋" w:eastAsia="仿宋" w:cs="仿宋"/>
                <w:kern w:val="0"/>
                <w:sz w:val="18"/>
                <w:szCs w:val="18"/>
              </w:rPr>
            </w:pPr>
            <w:r>
              <w:rPr>
                <w:rFonts w:hint="eastAsia" w:ascii="仿宋" w:hAnsi="仿宋" w:eastAsia="仿宋" w:cs="仿宋"/>
                <w:kern w:val="0"/>
                <w:sz w:val="18"/>
                <w:szCs w:val="18"/>
              </w:rPr>
              <w:t>持有人（或交款单位经办人）签字：Signature of the counterfeit Currency holder：</w:t>
            </w:r>
          </w:p>
        </w:tc>
      </w:tr>
    </w:tbl>
    <w:p>
      <w:pPr>
        <w:widowControl/>
        <w:shd w:val="clear" w:color="auto" w:fill="FFFFFF"/>
        <w:spacing w:after="300" w:line="456" w:lineRule="auto"/>
        <w:jc w:val="left"/>
        <w:rPr>
          <w:rFonts w:hint="eastAsia" w:ascii="仿宋" w:hAnsi="仿宋" w:eastAsia="仿宋" w:cs="仿宋"/>
          <w:kern w:val="0"/>
          <w:szCs w:val="21"/>
        </w:rPr>
      </w:pPr>
      <w:r>
        <w:rPr>
          <w:rFonts w:hint="eastAsia" w:ascii="仿宋" w:hAnsi="仿宋" w:eastAsia="仿宋" w:cs="仿宋"/>
          <w:kern w:val="0"/>
          <w:szCs w:val="21"/>
        </w:rPr>
        <w:t>中国人民银行印制</w:t>
      </w:r>
    </w:p>
    <w:p>
      <w:pPr>
        <w:widowControl/>
        <w:jc w:val="left"/>
        <w:rPr>
          <w:rFonts w:hint="eastAsia" w:ascii="仿宋" w:hAnsi="仿宋" w:eastAsia="仿宋" w:cs="仿宋"/>
          <w:kern w:val="0"/>
          <w:szCs w:val="21"/>
        </w:rPr>
      </w:pPr>
      <w:r>
        <w:rPr>
          <w:rFonts w:hint="eastAsia" w:ascii="仿宋" w:hAnsi="仿宋" w:eastAsia="仿宋" w:cs="仿宋"/>
          <w:kern w:val="0"/>
          <w:szCs w:val="21"/>
        </w:rPr>
        <w:br w:type="page"/>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附件2：</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（假人民币没收收据正面样式）</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假人民币没收收据</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没收单位（盖章）： 年　月　日　编号：000000</w:t>
      </w:r>
    </w:p>
    <w:tbl>
      <w:tblPr>
        <w:tblStyle w:val="27"/>
        <w:tblW w:w="8290" w:type="dxa"/>
        <w:jc w:val="center"/>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63"/>
        <w:gridCol w:w="809"/>
        <w:gridCol w:w="809"/>
        <w:gridCol w:w="390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jc w:val="center"/>
        </w:trPr>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持有人（或交款单位）：Confiscated from：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身份证（或其他有效证件）号码：Identification card or other valid document number of the counterfeit Renmindi holder：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276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券别：Denomination：</w:t>
            </w:r>
          </w:p>
        </w:tc>
        <w:tc>
          <w:tcPr>
            <w:tcW w:w="1618"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版别：Series：</w:t>
            </w:r>
          </w:p>
        </w:tc>
        <w:tc>
          <w:tcPr>
            <w:tcW w:w="390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冠字号码：Counterfeit Renminbi number：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3572"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数量： （张、枚） Amount： （Sheet）</w:t>
            </w:r>
          </w:p>
        </w:tc>
        <w:tc>
          <w:tcPr>
            <w:tcW w:w="4718"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合计面额：Total face value：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假币来源及制作方法：The origin of the counterfeit Renminbi and the producing method：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2763"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鉴定单位：Verified by：</w:t>
            </w:r>
          </w:p>
        </w:tc>
        <w:tc>
          <w:tcPr>
            <w:tcW w:w="1618"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鉴定日期： Verified on：</w:t>
            </w:r>
          </w:p>
        </w:tc>
        <w:tc>
          <w:tcPr>
            <w:tcW w:w="390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鉴定证书编号：Number of Verification：</w:t>
            </w:r>
          </w:p>
        </w:tc>
      </w:tr>
    </w:tbl>
    <w:p>
      <w:pPr>
        <w:widowControl/>
        <w:shd w:val="clear" w:color="auto" w:fill="FFFFFF"/>
        <w:spacing w:after="300" w:line="456" w:lineRule="auto"/>
        <w:jc w:val="left"/>
        <w:rPr>
          <w:rFonts w:hint="eastAsia" w:ascii="仿宋" w:hAnsi="仿宋" w:eastAsia="仿宋" w:cs="仿宋"/>
          <w:kern w:val="0"/>
          <w:szCs w:val="21"/>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凭证要素说明：</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此凭证一式二联，第一联为没收单位留存（字体和边框为黑色）；第二联交原收缴单位（字体和边框为红色）；第三联交持有人收存（字体和边框为蓝色），第三联背面印“说明”内容（附后），作为向持币人的告知项目。</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2．“交款单位”是指交存现金的企事业单位。</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3．“版别”是指纸币、硬币上的年号。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4．“制作方式”是指假币的防伪和变造方法，如机制、拓印、复印、挖补等。</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5．凭证编号为没收单位办理该业务流水号。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假人民币没收收据第三联背面格式</w:t>
      </w:r>
    </w:p>
    <w:tbl>
      <w:tblPr>
        <w:tblStyle w:val="27"/>
        <w:tblW w:w="8290" w:type="dxa"/>
        <w:jc w:val="center"/>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829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jc w:val="center"/>
        </w:trPr>
        <w:tc>
          <w:tcPr>
            <w:tcW w:w="829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说明：经鉴定，该钞（币）为假人民币，根据《中华人民共和国人民币管理条例》和《中国人民银行假币收缴、鉴定管理办法》有关规定，现依法予经没收。持有人如对没收程序有异议，可在60天内持本凭证和相应的鉴定证书向中国人民银行上一级机构提出行政复议或依法提出行政诉讼。Note：The banknote（coin）has been identified as a counterfeit Renminbi after verification and shall be confiscated according to the stipulations of “Regulations of the People’s Republic of China on Administration of Reruminbi”and “Administrative Rules of the People”s Bank of China for the Seizure and Verification of Counterfeit Currency”If the holder disagrees with the confiscateion of the counterfeit Renminbi， he/she may file and administerative appeal with a superior institution of the local branch office of the People’s Bank of China or an administerative suit to court with this receipt and related verification document within 60 days..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8290"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持有人（或交款单位经办人）签字：Signature of the Counterfeit Renminbi Holder：</w:t>
            </w:r>
          </w:p>
        </w:tc>
      </w:tr>
    </w:tbl>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中国人民银行印制</w:t>
      </w:r>
    </w:p>
    <w:p>
      <w:pPr>
        <w:widowControl/>
        <w:jc w:val="left"/>
        <w:rPr>
          <w:rFonts w:hint="eastAsia" w:ascii="仿宋" w:hAnsi="仿宋" w:eastAsia="仿宋" w:cs="仿宋"/>
          <w:kern w:val="0"/>
          <w:szCs w:val="21"/>
        </w:rPr>
      </w:pPr>
      <w:r>
        <w:rPr>
          <w:rFonts w:hint="eastAsia" w:ascii="仿宋" w:hAnsi="仿宋" w:eastAsia="仿宋" w:cs="仿宋"/>
          <w:kern w:val="0"/>
          <w:szCs w:val="21"/>
        </w:rPr>
        <w:br w:type="page"/>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附件3：</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中国人民银行货币真伪鉴定书</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鉴定日期： 年　月　日</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鉴定单位（盖章）：　编号：000000</w:t>
      </w:r>
    </w:p>
    <w:tbl>
      <w:tblPr>
        <w:tblStyle w:val="27"/>
        <w:tblW w:w="8290" w:type="dxa"/>
        <w:jc w:val="center"/>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098"/>
        <w:gridCol w:w="1449"/>
        <w:gridCol w:w="1449"/>
        <w:gridCol w:w="229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4547"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持有人</w:t>
            </w:r>
          </w:p>
        </w:tc>
        <w:tc>
          <w:tcPr>
            <w:tcW w:w="3743"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原鉴定单位</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4547"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联系电话</w:t>
            </w:r>
          </w:p>
        </w:tc>
        <w:tc>
          <w:tcPr>
            <w:tcW w:w="3743"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证件号码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309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 xml:space="preserve">币种 券别 版别 </w:t>
            </w:r>
          </w:p>
        </w:tc>
        <w:tc>
          <w:tcPr>
            <w:tcW w:w="2898"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数量 （张枚）</w:t>
            </w:r>
          </w:p>
        </w:tc>
        <w:tc>
          <w:tcPr>
            <w:tcW w:w="2294"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面额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冠字号码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原鉴别结果</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鉴定结果</w:t>
            </w:r>
          </w:p>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（鉴定专用章）年 月 日</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4547"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鉴定人：</w:t>
            </w:r>
          </w:p>
        </w:tc>
        <w:tc>
          <w:tcPr>
            <w:tcW w:w="3743" w:type="dxa"/>
            <w:gridSpan w:val="2"/>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复核人：</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8290" w:type="dxa"/>
            <w:gridSpan w:val="4"/>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备注</w:t>
            </w:r>
          </w:p>
        </w:tc>
      </w:tr>
    </w:tbl>
    <w:p>
      <w:pPr>
        <w:widowControl/>
        <w:shd w:val="clear" w:color="auto" w:fill="FFFFFF"/>
        <w:spacing w:line="456" w:lineRule="auto"/>
        <w:jc w:val="left"/>
        <w:rPr>
          <w:rFonts w:hint="eastAsia" w:ascii="仿宋" w:hAnsi="仿宋" w:eastAsia="仿宋" w:cs="仿宋"/>
          <w:kern w:val="0"/>
          <w:szCs w:val="21"/>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凭证要素说明：</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1．本书一式三联，第一联鉴定单位留底，第二联交送鉴单位，第三联交持有人。</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2．“编号”为鉴定单位办理该业务流水号。</w:t>
      </w:r>
    </w:p>
    <w:p>
      <w:pPr>
        <w:widowControl/>
        <w:jc w:val="left"/>
        <w:rPr>
          <w:rFonts w:hint="eastAsia" w:ascii="仿宋" w:hAnsi="仿宋" w:eastAsia="仿宋" w:cs="仿宋"/>
          <w:kern w:val="0"/>
          <w:szCs w:val="21"/>
        </w:rPr>
      </w:pPr>
      <w:r>
        <w:rPr>
          <w:rFonts w:hint="eastAsia" w:ascii="仿宋" w:hAnsi="仿宋" w:eastAsia="仿宋" w:cs="仿宋"/>
          <w:kern w:val="0"/>
          <w:szCs w:val="21"/>
        </w:rPr>
        <w:br w:type="page"/>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附件4：</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编号：000000</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中国人民银行授权书</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________________银行__________分（支）行：</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根据《中国人民银行假币收缴、鉴定管理办法》的规定，授权你机构为货币真伪鉴定单位。</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特此授权</w:t>
      </w:r>
    </w:p>
    <w:p>
      <w:pPr>
        <w:widowControl/>
        <w:shd w:val="clear" w:color="auto" w:fill="FFFFFF"/>
        <w:spacing w:line="456" w:lineRule="auto"/>
        <w:jc w:val="right"/>
        <w:rPr>
          <w:rFonts w:hint="eastAsia" w:ascii="仿宋" w:hAnsi="仿宋" w:eastAsia="仿宋" w:cs="仿宋"/>
          <w:kern w:val="0"/>
          <w:szCs w:val="21"/>
        </w:rPr>
      </w:pPr>
      <w:r>
        <w:rPr>
          <w:rFonts w:hint="eastAsia" w:ascii="仿宋" w:hAnsi="仿宋" w:eastAsia="仿宋" w:cs="仿宋"/>
          <w:kern w:val="0"/>
          <w:szCs w:val="21"/>
        </w:rPr>
        <w:t>（行章）</w:t>
      </w:r>
    </w:p>
    <w:p>
      <w:pPr>
        <w:widowControl/>
        <w:shd w:val="clear" w:color="auto" w:fill="FFFFFF"/>
        <w:spacing w:line="456" w:lineRule="auto"/>
        <w:jc w:val="right"/>
        <w:rPr>
          <w:rFonts w:hint="eastAsia" w:ascii="仿宋" w:hAnsi="仿宋" w:eastAsia="仿宋" w:cs="仿宋"/>
          <w:kern w:val="0"/>
          <w:szCs w:val="21"/>
        </w:rPr>
      </w:pPr>
      <w:r>
        <w:rPr>
          <w:rFonts w:hint="eastAsia" w:ascii="仿宋" w:hAnsi="仿宋" w:eastAsia="仿宋" w:cs="仿宋"/>
          <w:kern w:val="0"/>
          <w:szCs w:val="21"/>
        </w:rPr>
        <w:t>年　月　日</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说明：</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持有人对办理货币存取款和外币兑换业务的金融机构收缴的假币有异议，并持《假币收缴凭证》向你行申请鉴定的，由你行无偿给予鉴定。</w:t>
      </w:r>
    </w:p>
    <w:p>
      <w:pPr>
        <w:widowControl/>
        <w:jc w:val="left"/>
        <w:rPr>
          <w:rFonts w:hint="eastAsia" w:ascii="仿宋" w:hAnsi="仿宋" w:eastAsia="仿宋" w:cs="仿宋"/>
          <w:kern w:val="0"/>
          <w:szCs w:val="21"/>
        </w:rPr>
      </w:pPr>
      <w:r>
        <w:rPr>
          <w:rFonts w:hint="eastAsia" w:ascii="仿宋" w:hAnsi="仿宋" w:eastAsia="仿宋" w:cs="仿宋"/>
          <w:kern w:val="0"/>
          <w:szCs w:val="21"/>
        </w:rPr>
        <w:br w:type="page"/>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附件5：</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“假币”印章样式</w:t>
      </w:r>
    </w:p>
    <w:p>
      <w:pPr>
        <w:widowControl/>
        <w:shd w:val="clear" w:color="auto" w:fill="FFFFFF"/>
        <w:spacing w:after="300" w:line="456" w:lineRule="auto"/>
        <w:jc w:val="left"/>
        <w:rPr>
          <w:rFonts w:hint="eastAsia" w:ascii="仿宋" w:hAnsi="仿宋" w:eastAsia="仿宋" w:cs="仿宋"/>
          <w:kern w:val="0"/>
          <w:szCs w:val="21"/>
        </w:rPr>
      </w:pPr>
      <w:r>
        <w:rPr>
          <w:rFonts w:hint="eastAsia" w:ascii="仿宋" w:hAnsi="仿宋" w:eastAsia="仿宋" w:cs="仿宋"/>
          <w:kern w:val="0"/>
          <w:szCs w:val="21"/>
        </w:rPr>
        <w:drawing>
          <wp:inline distT="0" distB="0" distL="0" distR="0">
            <wp:extent cx="4295775" cy="2466975"/>
            <wp:effectExtent l="0" t="0" r="9525" b="9525"/>
            <wp:docPr id="1" name="图片 1" descr="http://resources.pkulaw.cn/upload/image/d408d34f-b4f8-4f9c-bc19-9256306f30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resources.pkulaw.cn/upload/image/d408d34f-b4f8-4f9c-bc19-9256306f30e1.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a:xfrm>
                      <a:off x="0" y="0"/>
                      <a:ext cx="4295775" cy="2466975"/>
                    </a:xfrm>
                    <a:prstGeom prst="rect">
                      <a:avLst/>
                    </a:prstGeom>
                    <a:noFill/>
                    <a:ln>
                      <a:noFill/>
                    </a:ln>
                  </pic:spPr>
                </pic:pic>
              </a:graphicData>
            </a:graphic>
          </wp:inline>
        </w:drawing>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1．各省（自治区、直辖市）简称</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2．金融机构编号</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3．印章：长×宽＝7.5cm×3.0cm</w:t>
      </w:r>
    </w:p>
    <w:p>
      <w:pPr>
        <w:widowControl/>
        <w:jc w:val="left"/>
        <w:rPr>
          <w:rFonts w:hint="eastAsia" w:ascii="仿宋" w:hAnsi="仿宋" w:eastAsia="仿宋" w:cs="仿宋"/>
          <w:kern w:val="0"/>
          <w:szCs w:val="21"/>
        </w:rPr>
      </w:pPr>
      <w:r>
        <w:rPr>
          <w:rFonts w:hint="eastAsia" w:ascii="仿宋" w:hAnsi="仿宋" w:eastAsia="仿宋" w:cs="仿宋"/>
          <w:kern w:val="0"/>
          <w:szCs w:val="21"/>
        </w:rPr>
        <w:br w:type="page"/>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附件6：</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假币鉴定专用章样式</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drawing>
          <wp:inline distT="0" distB="0" distL="0" distR="0">
            <wp:extent cx="2057400" cy="1962150"/>
            <wp:effectExtent l="0" t="0" r="0" b="0"/>
            <wp:docPr id="3" name="图片 3" descr="http://resources.pkulaw.cn/upload/image/8b90fe4b-df74-433b-a93f-74c74b4b83b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resources.pkulaw.cn/upload/image/8b90fe4b-df74-433b-a93f-74c74b4b83bf.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a:xfrm>
                      <a:off x="0" y="0"/>
                      <a:ext cx="2057400" cy="1962150"/>
                    </a:xfrm>
                    <a:prstGeom prst="rect">
                      <a:avLst/>
                    </a:prstGeom>
                    <a:noFill/>
                    <a:ln>
                      <a:noFill/>
                    </a:ln>
                  </pic:spPr>
                </pic:pic>
              </a:graphicData>
            </a:graphic>
          </wp:inline>
        </w:drawing>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附件7：</w:t>
      </w: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收缴假币专用封装袋样式（正面格式）</w:t>
      </w:r>
    </w:p>
    <w:tbl>
      <w:tblPr>
        <w:tblStyle w:val="27"/>
        <w:tblW w:w="8290" w:type="dxa"/>
        <w:jc w:val="center"/>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544"/>
        <w:gridCol w:w="7199"/>
        <w:gridCol w:w="54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jc w:val="center"/>
        </w:trPr>
        <w:tc>
          <w:tcPr>
            <w:tcW w:w="544"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tbl>
            <w:tblPr>
              <w:tblStyle w:val="27"/>
              <w:tblW w:w="378"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7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78"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透明 区</w:t>
                  </w:r>
                </w:p>
              </w:tc>
            </w:tr>
          </w:tbl>
          <w:p>
            <w:pPr>
              <w:widowControl/>
              <w:spacing w:after="160" w:line="276" w:lineRule="auto"/>
              <w:jc w:val="left"/>
              <w:rPr>
                <w:rFonts w:hint="eastAsia" w:ascii="仿宋" w:hAnsi="仿宋" w:eastAsia="仿宋" w:cs="仿宋"/>
                <w:kern w:val="0"/>
                <w:szCs w:val="21"/>
              </w:rPr>
            </w:pPr>
          </w:p>
        </w:tc>
        <w:tc>
          <w:tcPr>
            <w:tcW w:w="7199"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p>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金融机构收缴假币专用封装袋 说明：根据《中国人民银行假币收缴、鉴定、没收管理办法》第六条规定，办理货币存取款业务的金融机构收缴的假外币纸和各种硬币，统一以本专用袋加封保管，封口处加盖“假币”字样戳记。</w:t>
            </w:r>
          </w:p>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本袋内所封假币：</w:t>
            </w:r>
          </w:p>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币种：_____________________券别：__________________________ 面额：_____________________张（枚）数：_______________________ 冠字号码：_________________________________________________ ___________________________________________________________ 收缴单位：_________________________________________________ 收缴人（名章）_______________复核人（名章）_____________________</w:t>
            </w:r>
          </w:p>
          <w:p>
            <w:pPr>
              <w:widowControl/>
              <w:spacing w:after="160" w:line="276" w:lineRule="auto"/>
              <w:jc w:val="left"/>
              <w:rPr>
                <w:rFonts w:hint="eastAsia" w:ascii="仿宋" w:hAnsi="仿宋" w:eastAsia="仿宋" w:cs="仿宋"/>
                <w:kern w:val="0"/>
                <w:szCs w:val="21"/>
              </w:rPr>
            </w:pPr>
          </w:p>
        </w:tc>
        <w:tc>
          <w:tcPr>
            <w:tcW w:w="547"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p>
          <w:p>
            <w:pPr>
              <w:widowControl/>
              <w:spacing w:after="160" w:line="276" w:lineRule="auto"/>
              <w:jc w:val="left"/>
              <w:rPr>
                <w:rFonts w:hint="eastAsia" w:ascii="仿宋" w:hAnsi="仿宋" w:eastAsia="仿宋" w:cs="仿宋"/>
                <w:kern w:val="0"/>
                <w:szCs w:val="21"/>
              </w:rPr>
            </w:pPr>
          </w:p>
          <w:tbl>
            <w:tblPr>
              <w:tblStyle w:val="27"/>
              <w:tblW w:w="38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38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381" w:type="dxa"/>
                  <w:tcBorders>
                    <w:top w:val="outset" w:color="auto" w:sz="6" w:space="0"/>
                    <w:left w:val="outset" w:color="auto" w:sz="6" w:space="0"/>
                    <w:bottom w:val="outset" w:color="auto" w:sz="6" w:space="0"/>
                    <w:right w:val="outset" w:color="auto" w:sz="6" w:space="0"/>
                  </w:tcBorders>
                  <w:tcMar>
                    <w:top w:w="75" w:type="dxa"/>
                    <w:left w:w="75" w:type="dxa"/>
                    <w:bottom w:w="75" w:type="dxa"/>
                    <w:right w:w="75" w:type="dxa"/>
                  </w:tcMar>
                  <w:vAlign w:val="center"/>
                </w:tcPr>
                <w:p>
                  <w:pPr>
                    <w:widowControl/>
                    <w:spacing w:after="160" w:line="276" w:lineRule="auto"/>
                    <w:jc w:val="left"/>
                    <w:rPr>
                      <w:rFonts w:hint="eastAsia" w:ascii="仿宋" w:hAnsi="仿宋" w:eastAsia="仿宋" w:cs="仿宋"/>
                      <w:kern w:val="0"/>
                      <w:szCs w:val="21"/>
                    </w:rPr>
                  </w:pPr>
                  <w:r>
                    <w:rPr>
                      <w:rFonts w:hint="eastAsia" w:ascii="仿宋" w:hAnsi="仿宋" w:eastAsia="仿宋" w:cs="仿宋"/>
                      <w:kern w:val="0"/>
                      <w:szCs w:val="21"/>
                    </w:rPr>
                    <w:t>折叠封口</w:t>
                  </w:r>
                </w:p>
              </w:tc>
            </w:tr>
          </w:tbl>
          <w:p>
            <w:pPr>
              <w:widowControl/>
              <w:spacing w:after="160" w:line="276" w:lineRule="auto"/>
              <w:jc w:val="left"/>
              <w:rPr>
                <w:rFonts w:hint="eastAsia" w:ascii="仿宋" w:hAnsi="仿宋" w:eastAsia="仿宋" w:cs="仿宋"/>
                <w:kern w:val="0"/>
                <w:szCs w:val="21"/>
              </w:rPr>
            </w:pPr>
          </w:p>
        </w:tc>
      </w:tr>
    </w:tbl>
    <w:p>
      <w:pPr>
        <w:widowControl/>
        <w:shd w:val="clear" w:color="auto" w:fill="FFFFFF"/>
        <w:spacing w:line="456" w:lineRule="auto"/>
        <w:jc w:val="left"/>
        <w:rPr>
          <w:rFonts w:hint="eastAsia" w:ascii="仿宋" w:hAnsi="仿宋" w:eastAsia="仿宋" w:cs="仿宋"/>
          <w:kern w:val="0"/>
          <w:szCs w:val="21"/>
        </w:rPr>
      </w:pPr>
    </w:p>
    <w:p>
      <w:pPr>
        <w:widowControl/>
        <w:shd w:val="clear" w:color="auto" w:fill="FFFFFF"/>
        <w:adjustRightInd w:val="0"/>
        <w:snapToGrid w:val="0"/>
        <w:spacing w:line="312" w:lineRule="auto"/>
        <w:ind w:firstLine="420" w:firstLineChars="200"/>
        <w:rPr>
          <w:rFonts w:hint="eastAsia" w:ascii="仿宋" w:hAnsi="仿宋" w:eastAsia="仿宋" w:cs="仿宋"/>
          <w:kern w:val="0"/>
          <w:szCs w:val="21"/>
        </w:rPr>
      </w:pPr>
      <w:r>
        <w:rPr>
          <w:rFonts w:hint="eastAsia" w:ascii="仿宋" w:hAnsi="仿宋" w:eastAsia="仿宋" w:cs="仿宋"/>
          <w:kern w:val="0"/>
          <w:szCs w:val="21"/>
        </w:rPr>
        <w:t>（专用袋尺寸规格为：22cm×14cm，材质规格为厚牛皮纸，透明区为塑料薄膜）</w:t>
      </w: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