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208" w:afterLines="0" w:line="312" w:lineRule="auto"/>
        <w:ind w:firstLine="422" w:firstLineChars="200"/>
        <w:rPr>
          <w:rFonts w:hint="eastAsia"/>
        </w:rPr>
      </w:pPr>
      <w:bookmarkStart w:id="547" w:name="_Toc4336"/>
      <w:r>
        <w:rPr>
          <w:rFonts w:hint="eastAsia"/>
        </w:rPr>
        <w:t>217.1</w:t>
      </w:r>
      <w:r>
        <w:t>中国人民银行关于调整外币存款利率政策的通知</w:t>
      </w:r>
      <w:r>
        <w:br w:type="textWrapping"/>
      </w:r>
      <w:r>
        <w:t>银发</w:t>
      </w:r>
      <w:r>
        <w:rPr>
          <w:rFonts w:hint="eastAsia"/>
        </w:rPr>
        <w:t>[1992]268</w:t>
      </w:r>
      <w:r>
        <w:t>号</w:t>
      </w:r>
      <w:bookmarkEnd w:id="547"/>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中国人民银行各省、自治区、直辖市、计划单列市分行，中国银行，中国工商银行，中国农业银行，中国人民建设银行，交通银行：</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为适应经济、金融体制改革的不断发展和深化，经研究决定，对现行的外币存款利率政策作适当调整，以进一步理顺利率体系，逐步向国际银行的习惯做法靠拢。现将调整外币存款利率政策有关规定通知如下：</w:t>
      </w:r>
    </w:p>
    <w:p>
      <w:pPr>
        <w:pStyle w:val="399"/>
        <w:widowControl w:val="0"/>
        <w:adjustRightInd w:val="0"/>
        <w:snapToGrid w:val="0"/>
        <w:spacing w:line="312" w:lineRule="auto"/>
        <w:ind w:firstLine="420" w:firstLineChars="200"/>
        <w:jc w:val="both"/>
        <w:rPr>
          <w:rFonts w:hint="eastAsia" w:ascii="仿宋" w:hAnsi="仿宋" w:eastAsia="仿宋" w:cs="宋体"/>
          <w:bCs w:val="0"/>
          <w:color w:val="000000"/>
          <w:szCs w:val="27"/>
        </w:rPr>
      </w:pPr>
      <w:bookmarkStart w:id="548" w:name="tiao_1"/>
      <w:bookmarkEnd w:id="548"/>
      <w:r>
        <w:rPr>
          <w:rStyle w:val="400"/>
          <w:rFonts w:ascii="仿宋" w:hAnsi="仿宋" w:eastAsia="仿宋" w:cs="宋体"/>
          <w:b w:val="0"/>
          <w:bCs w:val="0"/>
          <w:color w:val="000000"/>
          <w:szCs w:val="27"/>
        </w:rPr>
        <w:t>一、</w:t>
      </w:r>
      <w:r>
        <w:rPr>
          <w:rFonts w:ascii="仿宋" w:hAnsi="仿宋" w:eastAsia="仿宋" w:cs="宋体"/>
          <w:bCs w:val="0"/>
          <w:color w:val="000000"/>
          <w:szCs w:val="27"/>
        </w:rPr>
        <w:t>统一个人与单位外币定期存款利率水平</w:t>
      </w:r>
    </w:p>
    <w:p>
      <w:pPr>
        <w:pStyle w:val="399"/>
        <w:widowControl w:val="0"/>
        <w:adjustRightInd w:val="0"/>
        <w:snapToGrid w:val="0"/>
        <w:spacing w:line="312" w:lineRule="auto"/>
        <w:ind w:firstLine="420" w:firstLineChars="200"/>
        <w:jc w:val="both"/>
        <w:rPr>
          <w:rFonts w:hint="eastAsia" w:ascii="仿宋" w:hAnsi="仿宋" w:eastAsia="仿宋" w:cs="宋体"/>
        </w:rPr>
      </w:pPr>
      <w:r>
        <w:rPr>
          <w:rFonts w:ascii="仿宋" w:hAnsi="仿宋" w:eastAsia="仿宋" w:cs="宋体"/>
          <w:b w:val="0"/>
          <w:bCs w:val="0"/>
          <w:color w:val="000000"/>
          <w:szCs w:val="27"/>
        </w:rPr>
        <w:t>为了提高企业存款的积极性，避免公款私存的套利行为，使外币利率管理能比照人民币利率管理的做法，并使之更符合国际惯例，决定将外币利率中的个人定期存款与单位定期存款两个档次的利率统一为一个利率水平。</w:t>
      </w:r>
    </w:p>
    <w:p>
      <w:pPr>
        <w:pStyle w:val="399"/>
        <w:widowControl w:val="0"/>
        <w:adjustRightInd w:val="0"/>
        <w:snapToGrid w:val="0"/>
        <w:spacing w:line="312" w:lineRule="auto"/>
        <w:ind w:firstLine="420" w:firstLineChars="200"/>
        <w:jc w:val="both"/>
        <w:rPr>
          <w:rFonts w:hint="eastAsia" w:ascii="仿宋" w:hAnsi="仿宋" w:eastAsia="仿宋" w:cs="宋体"/>
          <w:bCs w:val="0"/>
          <w:color w:val="000000"/>
          <w:szCs w:val="27"/>
        </w:rPr>
      </w:pPr>
      <w:bookmarkStart w:id="549" w:name="tiao_2"/>
      <w:bookmarkEnd w:id="549"/>
      <w:r>
        <w:rPr>
          <w:rStyle w:val="400"/>
          <w:rFonts w:ascii="仿宋" w:hAnsi="仿宋" w:eastAsia="仿宋" w:cs="宋体"/>
          <w:b w:val="0"/>
          <w:bCs w:val="0"/>
          <w:color w:val="000000"/>
          <w:szCs w:val="27"/>
        </w:rPr>
        <w:t>二、</w:t>
      </w:r>
      <w:r>
        <w:rPr>
          <w:rFonts w:ascii="仿宋" w:hAnsi="仿宋" w:eastAsia="仿宋" w:cs="宋体"/>
          <w:bCs w:val="0"/>
          <w:color w:val="000000"/>
          <w:szCs w:val="27"/>
        </w:rPr>
        <w:t>增设七天通知存款和一个月定期存款的利率档次</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为了进一步搞活外币存款业务，决定将七天通知存款和一个月定期存款的开户对象，由现在的外资企业和国内金融机构扩大到所有机关、团体、企事业单位和个人，其利率参照同档次外资企业和国内金融机构存款利率制订。这样，可以给客户以更大的选择余地，提供更好的服务，有利于吸收存款。</w:t>
      </w:r>
    </w:p>
    <w:p>
      <w:pPr>
        <w:pStyle w:val="399"/>
        <w:widowControl w:val="0"/>
        <w:adjustRightInd w:val="0"/>
        <w:snapToGrid w:val="0"/>
        <w:spacing w:line="312" w:lineRule="auto"/>
        <w:ind w:firstLine="420" w:firstLineChars="200"/>
        <w:jc w:val="both"/>
        <w:rPr>
          <w:rFonts w:hint="eastAsia" w:ascii="仿宋" w:hAnsi="仿宋" w:eastAsia="仿宋" w:cs="宋体"/>
        </w:rPr>
      </w:pPr>
      <w:r>
        <w:rPr>
          <w:rFonts w:ascii="仿宋" w:hAnsi="仿宋" w:eastAsia="仿宋" w:cs="宋体"/>
          <w:b w:val="0"/>
          <w:bCs w:val="0"/>
          <w:color w:val="000000"/>
          <w:szCs w:val="27"/>
        </w:rPr>
        <w:t>上述利率政策的调整，在适当时机执行。调整前应事先通报中国人民银行利率储蓄管理司。</w:t>
      </w: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