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ectPr w:rsidR="00FC693F" w:rsidRPr="0006063C" w:rsidSect="00034616">
      <w:pgSz w:w="12240" w:h="15840"/>
      <w:pgMar w:top="1440" w:right="1800" w:bottom="1440" w:left="1800" w:header="720" w:footer="720" w:gutter="0"/>
      <w:cols w:space="720"/>
      <w:docGrid w:linePitch="360"/>
    </w:sectPr>
    <w:p>
      <w:pPr>
        <w:pStyle w:val="2"/>
        <w:spacing w:after="120" w:line="312" w:lineRule="auto"/>
        <w:ind w:firstLine="422" w:firstLineChars="200"/>
        <w:rPr>
          <w:rFonts w:hint="eastAsia"/>
        </w:rPr>
      </w:pPr>
      <w:bookmarkStart w:id="556" w:name="_Toc26320"/>
      <w:r>
        <w:rPr>
          <w:rFonts w:hint="eastAsia"/>
        </w:rPr>
        <w:t>217.4</w:t>
      </w:r>
      <w:r>
        <w:t>中国人民银行办公厅关于外币存贷款利率实行备案管理有关事项的通知</w:t>
      </w:r>
      <w:r>
        <w:br w:type="textWrapping"/>
      </w:r>
      <w:r>
        <w:t>银办发[2002]84号</w:t>
      </w:r>
      <w:bookmarkEnd w:id="556"/>
    </w:p>
    <w:p>
      <w:pPr>
        <w:pStyle w:val="399"/>
        <w:widowControl w:val="0"/>
        <w:adjustRightInd w:val="0"/>
        <w:snapToGrid w:val="0"/>
        <w:spacing w:line="312" w:lineRule="auto"/>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中国人民银行各分行、营业管理部，各国有独资商业银行、股份制商业银行：</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为对外币贷款和大额外币存款的利率进行监测，现就外币贷款和大额外币存款利率实行备案管理的具体事宜通知如下：</w:t>
      </w:r>
    </w:p>
    <w:p>
      <w:pPr>
        <w:pStyle w:val="399"/>
        <w:widowControl w:val="0"/>
        <w:adjustRightInd w:val="0"/>
        <w:snapToGrid w:val="0"/>
        <w:spacing w:line="312" w:lineRule="auto"/>
        <w:ind w:firstLine="422" w:firstLineChars="200"/>
        <w:jc w:val="both"/>
        <w:rPr>
          <w:rFonts w:hint="eastAsia" w:ascii="仿宋" w:hAnsi="仿宋" w:eastAsia="仿宋" w:cs="宋体"/>
        </w:rPr>
      </w:pPr>
      <w:r>
        <w:rPr>
          <w:rStyle w:val="400"/>
          <w:rFonts w:ascii="仿宋" w:hAnsi="仿宋" w:eastAsia="仿宋" w:cs="宋体"/>
          <w:b/>
          <w:bCs/>
          <w:color w:val="000000"/>
          <w:szCs w:val="27"/>
        </w:rPr>
        <w:t>一、</w:t>
      </w:r>
      <w:r>
        <w:rPr>
          <w:rFonts w:ascii="仿宋" w:hAnsi="仿宋" w:eastAsia="仿宋" w:cs="宋体"/>
          <w:b w:val="0"/>
          <w:bCs w:val="0"/>
          <w:color w:val="000000"/>
          <w:szCs w:val="27"/>
        </w:rPr>
        <w:t>各金融机构要制定外币利率管理办法，并报中国人民银行备案。国有独资商业银行和股份制商业银行上报中国人民银行总行备案；城市（农村）商业银行、城乡信用社和外资金融机构报中国人民银行所在地分行、营业管理部备案，中国人民银行各分行、营业管理部再将备案复印件集中转报总行。上报中国人民银行总行的截止时间为2002年4月30日。</w:t>
      </w:r>
    </w:p>
    <w:p>
      <w:pPr>
        <w:pStyle w:val="399"/>
        <w:widowControl w:val="0"/>
        <w:adjustRightInd w:val="0"/>
        <w:snapToGrid w:val="0"/>
        <w:spacing w:line="312" w:lineRule="auto"/>
        <w:ind w:firstLine="422" w:firstLineChars="200"/>
        <w:jc w:val="both"/>
        <w:rPr>
          <w:rFonts w:hint="eastAsia" w:ascii="仿宋" w:hAnsi="仿宋" w:eastAsia="仿宋" w:cs="宋体"/>
          <w:b w:val="0"/>
          <w:bCs w:val="0"/>
          <w:color w:val="000000"/>
          <w:szCs w:val="27"/>
        </w:rPr>
      </w:pPr>
      <w:r>
        <w:rPr>
          <w:rStyle w:val="400"/>
          <w:rFonts w:ascii="仿宋" w:hAnsi="仿宋" w:eastAsia="仿宋" w:cs="宋体"/>
          <w:b/>
          <w:bCs/>
          <w:color w:val="000000"/>
          <w:szCs w:val="27"/>
        </w:rPr>
        <w:t>二、</w:t>
      </w:r>
      <w:r>
        <w:rPr>
          <w:rFonts w:ascii="仿宋" w:hAnsi="仿宋" w:eastAsia="仿宋" w:cs="宋体"/>
          <w:b w:val="0"/>
          <w:bCs w:val="0"/>
          <w:color w:val="000000"/>
          <w:szCs w:val="27"/>
        </w:rPr>
        <w:t>各金融机构要按月对本系统内外币贷款和大额外币存款各币种、期限档次的最高利率、最低利率和加权平均利率（基准利率）水平及当月发生额等情况进行统计，并填写外币利率备案表（见附表）报中国人民银行备案。</w:t>
      </w:r>
    </w:p>
    <w:p>
      <w:pPr>
        <w:pStyle w:val="399"/>
        <w:widowControl w:val="0"/>
        <w:adjustRightInd w:val="0"/>
        <w:snapToGrid w:val="0"/>
        <w:spacing w:line="312" w:lineRule="auto"/>
        <w:ind w:firstLine="420" w:firstLineChars="200"/>
        <w:jc w:val="both"/>
        <w:rPr>
          <w:rFonts w:hint="eastAsia" w:ascii="仿宋" w:hAnsi="仿宋" w:eastAsia="仿宋" w:cs="宋体"/>
        </w:rPr>
      </w:pPr>
      <w:r>
        <w:rPr>
          <w:rFonts w:ascii="仿宋" w:hAnsi="仿宋" w:eastAsia="仿宋" w:cs="宋体"/>
          <w:b w:val="0"/>
          <w:bCs w:val="0"/>
          <w:color w:val="000000"/>
          <w:szCs w:val="27"/>
        </w:rPr>
        <w:t>各国有独资商业银行和股份制商业银行直接报中国人民银行总行，上报时间为次月10日；城市（农村）商业银行、城乡信用社和外资金融机构报送中国人民银行所在地分行、营业管理部（上报时间为次月8日），人民银行各分行、营业管理部汇总后上报总行，上报时间为次月10日。第一次上报时间为2002年4月30日。上述上报时间遇节假日均顺延。</w:t>
      </w:r>
    </w:p>
    <w:p>
      <w:pPr>
        <w:pStyle w:val="399"/>
        <w:widowControl w:val="0"/>
        <w:adjustRightInd w:val="0"/>
        <w:snapToGrid w:val="0"/>
        <w:spacing w:line="312" w:lineRule="auto"/>
        <w:ind w:firstLine="422" w:firstLineChars="200"/>
        <w:jc w:val="both"/>
        <w:rPr>
          <w:rFonts w:hint="eastAsia" w:ascii="仿宋" w:hAnsi="仿宋" w:eastAsia="仿宋" w:cs="宋体"/>
          <w:b w:val="0"/>
          <w:bCs w:val="0"/>
          <w:color w:val="000000"/>
          <w:szCs w:val="27"/>
        </w:rPr>
      </w:pPr>
      <w:bookmarkStart w:id="557" w:name="tiao_3"/>
      <w:bookmarkEnd w:id="557"/>
      <w:r>
        <w:rPr>
          <w:rStyle w:val="400"/>
          <w:rFonts w:ascii="仿宋" w:hAnsi="仿宋" w:eastAsia="仿宋" w:cs="宋体"/>
          <w:b/>
          <w:bCs/>
          <w:color w:val="000000"/>
          <w:szCs w:val="27"/>
        </w:rPr>
        <w:t>三、</w:t>
      </w:r>
      <w:r>
        <w:rPr>
          <w:rFonts w:ascii="仿宋" w:hAnsi="仿宋" w:eastAsia="仿宋" w:cs="宋体"/>
          <w:b w:val="0"/>
          <w:bCs w:val="0"/>
          <w:color w:val="000000"/>
          <w:szCs w:val="27"/>
        </w:rPr>
        <w:t>各金融机构应对单笔大额外币存款利率超过合同签订日LIBOR同档次水平的情况，按外币利率报备程序，向中国人民银行逐笔作出专项书面说明。</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联系人：曾冬青</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联系电话：010-66194361</w:t>
      </w:r>
      <w:r>
        <w:rPr>
          <w:rFonts w:hint="eastAsia" w:ascii="仿宋" w:hAnsi="仿宋" w:eastAsia="仿宋" w:cs="宋体"/>
          <w:b w:val="0"/>
          <w:bCs w:val="0"/>
          <w:color w:val="000000"/>
          <w:szCs w:val="27"/>
        </w:rPr>
        <w:t>；</w:t>
      </w:r>
      <w:r>
        <w:rPr>
          <w:rFonts w:ascii="仿宋" w:hAnsi="仿宋" w:eastAsia="仿宋" w:cs="宋体"/>
          <w:b w:val="0"/>
          <w:bCs w:val="0"/>
          <w:color w:val="000000"/>
          <w:szCs w:val="27"/>
        </w:rPr>
        <w:t>传真电话：010-66012765</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p>
    <w:p>
      <w:pPr>
        <w:pStyle w:val="399"/>
        <w:widowControl w:val="0"/>
        <w:adjustRightInd w:val="0"/>
        <w:snapToGrid w:val="0"/>
        <w:spacing w:line="312" w:lineRule="auto"/>
        <w:ind w:firstLine="420" w:firstLineChars="200"/>
        <w:jc w:val="right"/>
        <w:rPr>
          <w:rFonts w:hint="eastAsia" w:ascii="仿宋" w:hAnsi="仿宋" w:eastAsia="仿宋" w:cs="宋体"/>
          <w:b w:val="0"/>
          <w:bCs w:val="0"/>
          <w:color w:val="000000"/>
          <w:szCs w:val="27"/>
        </w:rPr>
      </w:pPr>
      <w:r>
        <w:rPr>
          <w:rFonts w:hint="eastAsia" w:ascii="仿宋" w:hAnsi="仿宋" w:eastAsia="仿宋" w:cs="宋体"/>
          <w:b w:val="0"/>
          <w:bCs w:val="0"/>
          <w:color w:val="000000"/>
          <w:szCs w:val="27"/>
        </w:rPr>
        <w:t>中国人民银行</w:t>
      </w:r>
    </w:p>
    <w:p>
      <w:pPr>
        <w:pStyle w:val="399"/>
        <w:widowControl w:val="0"/>
        <w:adjustRightInd w:val="0"/>
        <w:snapToGrid w:val="0"/>
        <w:spacing w:line="312" w:lineRule="auto"/>
        <w:ind w:firstLine="422" w:firstLineChars="200"/>
        <w:jc w:val="right"/>
        <w:rPr>
          <w:rFonts w:hint="eastAsia" w:ascii="仿宋" w:hAnsi="仿宋" w:eastAsia="仿宋" w:cs="宋体"/>
          <w:b w:val="0"/>
          <w:bCs w:val="0"/>
          <w:color w:val="000000"/>
          <w:szCs w:val="27"/>
        </w:rPr>
      </w:pPr>
      <w:r>
        <w:rPr>
          <w:rFonts w:ascii="仿宋" w:hAnsi="仿宋" w:eastAsia="仿宋" w:cs="宋体"/>
          <w:color w:val="000000"/>
          <w:szCs w:val="27"/>
        </w:rPr>
        <w:t>2002年4月4日</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附表：</w:t>
      </w:r>
    </w:p>
    <w:p>
      <w:pPr>
        <w:pStyle w:val="399"/>
        <w:widowControl w:val="0"/>
        <w:adjustRightInd w:val="0"/>
        <w:snapToGrid w:val="0"/>
        <w:spacing w:line="312" w:lineRule="auto"/>
        <w:ind w:firstLine="422" w:firstLineChars="200"/>
        <w:jc w:val="both"/>
        <w:rPr>
          <w:rFonts w:hint="eastAsia" w:ascii="仿宋" w:hAnsi="仿宋" w:eastAsia="仿宋" w:cs="宋体"/>
          <w:bCs w:val="0"/>
          <w:color w:val="000000"/>
          <w:szCs w:val="27"/>
        </w:rPr>
      </w:pPr>
      <w:r>
        <w:rPr>
          <w:rFonts w:ascii="仿宋" w:hAnsi="仿宋" w:eastAsia="仿宋" w:cs="宋体"/>
          <w:bCs w:val="0"/>
          <w:color w:val="000000"/>
          <w:szCs w:val="27"/>
        </w:rPr>
        <w:t>外币利率备案表</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表号：银统309表</w:t>
      </w:r>
    </w:p>
    <w:p>
      <w:pPr>
        <w:pStyle w:val="399"/>
        <w:widowControl w:val="0"/>
        <w:adjustRightInd w:val="0"/>
        <w:snapToGrid w:val="0"/>
        <w:spacing w:line="312" w:lineRule="auto"/>
        <w:ind w:firstLine="420" w:firstLineChars="200"/>
        <w:jc w:val="both"/>
        <w:rPr>
          <w:rFonts w:hint="eastAsia" w:ascii="仿宋" w:hAnsi="仿宋" w:eastAsia="仿宋" w:cs="宋体"/>
          <w:b w:val="0"/>
          <w:bCs w:val="0"/>
          <w:color w:val="000000"/>
          <w:szCs w:val="27"/>
        </w:rPr>
      </w:pPr>
      <w:r>
        <w:rPr>
          <w:rFonts w:ascii="仿宋" w:hAnsi="仿宋" w:eastAsia="仿宋" w:cs="宋体"/>
          <w:b w:val="0"/>
          <w:bCs w:val="0"/>
          <w:color w:val="000000"/>
          <w:szCs w:val="27"/>
        </w:rPr>
        <w:t>行名：币种：　年月</w:t>
      </w:r>
    </w:p>
    <w:p>
      <w:pPr>
        <w:pStyle w:val="399"/>
        <w:widowControl w:val="0"/>
        <w:adjustRightInd w:val="0"/>
        <w:snapToGrid w:val="0"/>
        <w:spacing w:line="312" w:lineRule="auto"/>
        <w:ind w:firstLine="420" w:firstLineChars="200"/>
        <w:jc w:val="both"/>
        <w:rPr>
          <w:rFonts w:hint="eastAsia" w:ascii="仿宋" w:hAnsi="仿宋" w:eastAsia="仿宋" w:cs="宋体"/>
        </w:rPr>
      </w:pPr>
      <w:r>
        <w:rPr>
          <w:rFonts w:ascii="仿宋" w:hAnsi="仿宋" w:eastAsia="仿宋" w:cs="宋体"/>
          <w:b w:val="0"/>
          <w:bCs w:val="0"/>
          <w:color w:val="000000"/>
          <w:szCs w:val="27"/>
        </w:rPr>
        <w:t>单位：年利率％</w:t>
      </w:r>
    </w:p>
    <w:tbl>
      <w:tblPr>
        <w:tblStyle w:val="403"/>
        <w:tblW w:w="4499" w:type="pct"/>
        <w:tblInd w:w="464" w:type="dxa"/>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Layout w:type="autofit"/>
        <w:tblCellMar>
          <w:top w:w="0" w:type="dxa"/>
          <w:left w:w="0" w:type="dxa"/>
          <w:bottom w:w="0" w:type="dxa"/>
          <w:right w:w="0" w:type="dxa"/>
        </w:tblCellMar>
      </w:tblPr>
      <w:tblGrid>
        <w:gridCol w:w="2017"/>
        <w:gridCol w:w="1321"/>
        <w:gridCol w:w="1321"/>
        <w:gridCol w:w="1321"/>
        <w:gridCol w:w="2248"/>
      </w:tblGrid>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PrEx>
        <w:tc>
          <w:tcPr>
            <w:tcW w:w="1226" w:type="pct"/>
            <w:tcBorders>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b/>
                <w:color w:val="000000"/>
                <w:sz w:val="21"/>
                <w:szCs w:val="27"/>
              </w:rPr>
            </w:pPr>
            <w:r>
              <w:rPr>
                <w:rFonts w:hint="eastAsia" w:ascii="仿宋" w:hAnsi="仿宋" w:eastAsia="仿宋" w:cs="宋体"/>
                <w:b/>
                <w:color w:val="000000"/>
                <w:sz w:val="21"/>
                <w:szCs w:val="27"/>
              </w:rPr>
              <w:t>期限</w:t>
            </w:r>
          </w:p>
        </w:tc>
        <w:tc>
          <w:tcPr>
            <w:tcW w:w="0" w:type="auto"/>
            <w:tcBorders>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b/>
                <w:color w:val="000000"/>
                <w:sz w:val="21"/>
                <w:szCs w:val="27"/>
              </w:rPr>
            </w:pPr>
            <w:r>
              <w:rPr>
                <w:rFonts w:hint="eastAsia" w:ascii="仿宋" w:hAnsi="仿宋" w:eastAsia="仿宋" w:cs="宋体"/>
                <w:b/>
                <w:color w:val="000000"/>
                <w:sz w:val="21"/>
                <w:szCs w:val="27"/>
              </w:rPr>
              <w:t>最高利率</w:t>
            </w:r>
          </w:p>
        </w:tc>
        <w:tc>
          <w:tcPr>
            <w:tcW w:w="0" w:type="auto"/>
            <w:tcBorders>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b/>
                <w:color w:val="000000"/>
                <w:sz w:val="21"/>
                <w:szCs w:val="27"/>
              </w:rPr>
            </w:pPr>
            <w:r>
              <w:rPr>
                <w:rFonts w:hint="eastAsia" w:ascii="仿宋" w:hAnsi="仿宋" w:eastAsia="仿宋" w:cs="宋体"/>
                <w:b/>
                <w:color w:val="000000"/>
                <w:sz w:val="21"/>
                <w:szCs w:val="27"/>
              </w:rPr>
              <w:t>最低利率</w:t>
            </w:r>
          </w:p>
        </w:tc>
        <w:tc>
          <w:tcPr>
            <w:tcW w:w="0" w:type="auto"/>
            <w:tcBorders>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b/>
                <w:color w:val="000000"/>
                <w:sz w:val="21"/>
                <w:szCs w:val="27"/>
              </w:rPr>
            </w:pPr>
            <w:r>
              <w:rPr>
                <w:rFonts w:hint="eastAsia" w:ascii="仿宋" w:hAnsi="仿宋" w:eastAsia="仿宋" w:cs="宋体"/>
                <w:b/>
                <w:color w:val="000000"/>
                <w:sz w:val="21"/>
                <w:szCs w:val="27"/>
              </w:rPr>
              <w:t>平均利率</w:t>
            </w:r>
          </w:p>
        </w:tc>
        <w:tc>
          <w:tcPr>
            <w:tcW w:w="1366" w:type="pct"/>
            <w:tcBorders>
              <w:left w:val="single" w:color="666666" w:sz="6" w:space="0"/>
              <w:bottom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b/>
                <w:color w:val="000000"/>
                <w:sz w:val="21"/>
                <w:szCs w:val="27"/>
              </w:rPr>
            </w:pPr>
            <w:r>
              <w:rPr>
                <w:rFonts w:hint="eastAsia" w:ascii="仿宋" w:hAnsi="仿宋" w:eastAsia="仿宋" w:cs="宋体"/>
                <w:b/>
                <w:color w:val="000000"/>
                <w:sz w:val="21"/>
                <w:szCs w:val="27"/>
              </w:rPr>
              <w:t>当月发生额（万元）</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一、大额存款：</w:t>
            </w: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3个月以内</w:t>
            </w: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3-6个月</w:t>
            </w: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6-12个月</w:t>
            </w: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一年</w:t>
            </w: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一年以上</w:t>
            </w: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二、贷款：</w:t>
            </w: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最高利率</w:t>
            </w: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最低利率</w:t>
            </w:r>
          </w:p>
        </w:tc>
        <w:tc>
          <w:tcPr>
            <w:tcW w:w="0" w:type="auto"/>
            <w:tcBorders>
              <w:top w:val="single" w:color="666666" w:sz="6" w:space="0"/>
              <w:left w:val="single" w:color="666666" w:sz="6" w:space="0"/>
              <w:bottom w:val="inset" w:color="808080"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基准利率</w:t>
            </w:r>
          </w:p>
        </w:tc>
        <w:tc>
          <w:tcPr>
            <w:tcW w:w="1366" w:type="pct"/>
            <w:tcBorders>
              <w:top w:val="single" w:color="666666" w:sz="6" w:space="0"/>
              <w:left w:val="single" w:color="666666" w:sz="6" w:space="0"/>
              <w:bottom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当月发生额</w:t>
            </w: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一年（固定）</w:t>
            </w: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bottom w:val="inset" w:color="808080" w:sz="6" w:space="0"/>
              <w:right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bottom w:val="inset" w:color="808080" w:sz="6" w:space="0"/>
            </w:tcBorders>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r>
        <w:tblPrEx>
          <w:tblBorders>
            <w:top w:val="single" w:color="666666" w:sz="6" w:space="0"/>
            <w:left w:val="single" w:color="666666" w:sz="6" w:space="0"/>
            <w:bottom w:val="single" w:color="666666" w:sz="6" w:space="0"/>
            <w:right w:val="single" w:color="666666" w:sz="6" w:space="0"/>
            <w:insideH w:val="none" w:color="auto" w:sz="0" w:space="0"/>
            <w:insideV w:val="none" w:color="auto" w:sz="0" w:space="0"/>
          </w:tblBorders>
          <w:tblCellMar>
            <w:top w:w="0" w:type="dxa"/>
            <w:left w:w="0" w:type="dxa"/>
            <w:bottom w:w="0" w:type="dxa"/>
            <w:right w:w="0" w:type="dxa"/>
          </w:tblCellMar>
        </w:tblPrEx>
        <w:tc>
          <w:tcPr>
            <w:tcW w:w="1226" w:type="pct"/>
            <w:tcBorders>
              <w:top w:val="single" w:color="666666"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r>
              <w:rPr>
                <w:rFonts w:hint="eastAsia" w:ascii="仿宋" w:hAnsi="仿宋" w:eastAsia="仿宋" w:cs="宋体"/>
                <w:color w:val="000000"/>
                <w:sz w:val="21"/>
                <w:szCs w:val="27"/>
              </w:rPr>
              <w:t>一年（按月浮动）</w:t>
            </w:r>
          </w:p>
        </w:tc>
        <w:tc>
          <w:tcPr>
            <w:tcW w:w="0" w:type="auto"/>
            <w:tcBorders>
              <w:top w:val="single" w:color="666666" w:sz="6" w:space="0"/>
              <w:left w:val="single" w:color="666666"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0" w:type="auto"/>
            <w:tcBorders>
              <w:top w:val="single" w:color="666666" w:sz="6" w:space="0"/>
              <w:left w:val="single" w:color="666666" w:sz="6" w:space="0"/>
              <w:right w:val="inset" w:color="808080"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c>
          <w:tcPr>
            <w:tcW w:w="1366" w:type="pct"/>
            <w:tcBorders>
              <w:top w:val="single" w:color="666666" w:sz="6" w:space="0"/>
              <w:left w:val="single" w:color="666666" w:sz="6" w:space="0"/>
            </w:tcBorders>
            <w:shd w:val="clear" w:color="auto" w:fill="F9F9F9"/>
            <w:tcMar>
              <w:top w:w="82" w:type="dxa"/>
              <w:left w:w="82" w:type="dxa"/>
              <w:bottom w:w="82" w:type="dxa"/>
              <w:right w:w="82" w:type="dxa"/>
            </w:tcMar>
            <w:vAlign w:val="center"/>
          </w:tcPr>
          <w:p>
            <w:pPr>
              <w:pStyle w:val="402"/>
              <w:widowControl w:val="0"/>
              <w:adjustRightInd w:val="0"/>
              <w:snapToGrid w:val="0"/>
              <w:spacing w:after="160" w:line="312" w:lineRule="auto"/>
              <w:jc w:val="both"/>
              <w:rPr>
                <w:rFonts w:hint="eastAsia" w:ascii="仿宋" w:hAnsi="仿宋" w:eastAsia="仿宋" w:cs="宋体"/>
                <w:color w:val="000000"/>
                <w:sz w:val="21"/>
                <w:szCs w:val="27"/>
              </w:rPr>
            </w:pPr>
          </w:p>
        </w:tc>
      </w:tr>
    </w:tbl>
    <w:p>
      <w:pPr>
        <w:pStyle w:val="401"/>
        <w:widowControl w:val="0"/>
        <w:adjustRightInd w:val="0"/>
        <w:snapToGrid w:val="0"/>
        <w:spacing w:line="312" w:lineRule="auto"/>
        <w:ind w:firstLine="420" w:firstLineChars="200"/>
        <w:jc w:val="both"/>
        <w:rPr>
          <w:rFonts w:hint="eastAsia" w:ascii="仿宋" w:hAnsi="仿宋" w:eastAsia="仿宋"/>
          <w:sz w:val="21"/>
        </w:rPr>
      </w:pPr>
      <w:r>
        <w:rPr>
          <w:rFonts w:ascii="仿宋" w:hAnsi="仿宋" w:eastAsia="仿宋"/>
          <w:sz w:val="21"/>
        </w:rPr>
        <w:t>注：“平均利率”以存款金额为权数计算当月加权平均利率。</w:t>
      </w:r>
    </w:p>
    <w:p>
      <w:pPr>
        <w:adjustRightInd w:val="0"/>
        <w:snapToGrid w:val="0"/>
        <w:spacing w:line="312" w:lineRule="auto"/>
        <w:ind w:firstLine="420" w:firstLineChars="200"/>
        <w:rPr>
          <w:rFonts w:hint="eastAsia" w:ascii="仿宋" w:hAnsi="仿宋" w:eastAsia="仿宋"/>
        </w:rPr>
      </w:pPr>
    </w:p>
    <w:p>
      <w:pPr>
        <w:widowControl/>
        <w:jc w:val="left"/>
        <w:rPr>
          <w:rFonts w:hint="eastAsia" w:ascii="仿宋" w:hAnsi="仿宋" w:eastAsia="仿宋" w:cs="仿宋"/>
          <w:szCs w:val="21"/>
        </w:rPr>
      </w:pPr>
    </w:p>
    <w:p>
      <w:pPr>
        <w:widowControl/>
        <w:jc w:val="left"/>
        <w:rPr>
          <w:rFonts w:hint="eastAsia" w:ascii="仿宋" w:hAnsi="仿宋" w:eastAsia="仿宋" w:cs="仿宋"/>
          <w:szCs w:val="21"/>
        </w:rPr>
      </w:pPr>
    </w:p>
    <w:p>
      <w:pPr>
        <w:pStyle w:val="10"/>
        <w:spacing w:line="272" w:lineRule="auto"/>
      </w:pP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