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24" w:name="_Toc5048738"/>
      <w:bookmarkStart w:id="625" w:name="_Toc13968"/>
      <w:r>
        <w:rPr>
          <w:rFonts w:hint="eastAsia"/>
        </w:rPr>
        <w:t>247.1中国人民银行办公厅关于进一步明确人民币</w:t>
      </w:r>
      <w:r>
        <w:rPr>
          <w:rFonts w:hint="eastAsia"/>
        </w:rPr>
        <w:br w:type="textWrapping"/>
      </w:r>
      <w:r>
        <w:rPr>
          <w:rFonts w:hint="eastAsia"/>
        </w:rPr>
        <w:t>合格境内机构投资者境外证券投资管理有关事项的通知</w:t>
      </w:r>
      <w:r>
        <w:rPr>
          <w:rFonts w:hint="eastAsia"/>
        </w:rPr>
        <w:br w:type="textWrapping"/>
      </w:r>
      <w:r>
        <w:rPr>
          <w:rFonts w:hint="eastAsia"/>
        </w:rPr>
        <w:t>（银办发〔2018〕81号）</w:t>
      </w:r>
      <w:bookmarkEnd w:id="624"/>
      <w:bookmarkEnd w:id="625"/>
    </w:p>
    <w:p>
      <w:pPr>
        <w:autoSpaceDE w:val="0"/>
        <w:autoSpaceDN w:val="0"/>
        <w:adjustRightInd w:val="0"/>
        <w:snapToGrid w:val="0"/>
        <w:spacing w:line="312" w:lineRule="auto"/>
        <w:ind w:right="24"/>
        <w:rPr>
          <w:rFonts w:hint="eastAsia" w:ascii="仿宋" w:hAnsi="仿宋" w:eastAsia="仿宋" w:cs="仿宋"/>
          <w:snapToGrid w:val="0"/>
          <w:kern w:val="21"/>
          <w:szCs w:val="32"/>
        </w:rPr>
      </w:pPr>
      <w:r>
        <w:rPr>
          <w:rFonts w:hint="eastAsia" w:ascii="仿宋" w:hAnsi="仿宋" w:eastAsia="仿宋" w:cs="仿宋"/>
          <w:snapToGrid w:val="0"/>
          <w:kern w:val="21"/>
          <w:szCs w:val="32"/>
        </w:rPr>
        <w:t>中国人民银行上海总部，各分行、营业管理部，各省会（首府）城市中心支行，各副省级城市中心支行；国家开发银行，各政策性银行、国有商业银行、股份制商业银行，中国邮政储蓄银行：为进一步规范人民币合格境内机构投资者（以下简称人民币合格投资者）境外证券投资（以下简称境外投资）活动，根据《中国人民银行关于人民币合格境内机构投资者境外证券投资有关事项的通知》（银发〔2014〕331号）等相关规定，现就人民币合格投资者境外投资宏观审慎管理和信息报送等事项通知如下：</w:t>
      </w:r>
    </w:p>
    <w:p>
      <w:pPr>
        <w:autoSpaceDE w:val="0"/>
        <w:autoSpaceDN w:val="0"/>
        <w:adjustRightInd w:val="0"/>
        <w:snapToGrid w:val="0"/>
        <w:spacing w:line="312" w:lineRule="auto"/>
        <w:ind w:right="24" w:firstLine="420" w:firstLineChars="200"/>
        <w:rPr>
          <w:rFonts w:hint="eastAsia" w:ascii="仿宋" w:hAnsi="仿宋" w:eastAsia="仿宋" w:cs="仿宋"/>
          <w:snapToGrid w:val="0"/>
          <w:kern w:val="21"/>
          <w:szCs w:val="32"/>
        </w:rPr>
      </w:pPr>
      <w:r>
        <w:rPr>
          <w:rFonts w:hint="eastAsia" w:ascii="仿宋" w:hAnsi="仿宋" w:eastAsia="仿宋" w:cs="仿宋"/>
          <w:snapToGrid w:val="0"/>
          <w:kern w:val="21"/>
          <w:szCs w:val="32"/>
        </w:rPr>
        <w:t>一、人民币合格投资者境外投资是指取得国务院金融监督管理机构许可的境内金融机构，以自有人民币资金或募集境内机构和个人人民币资金，投资于境外金融市场的人民币计价产品（银行自有资金境外运用除外）。</w:t>
      </w:r>
    </w:p>
    <w:p>
      <w:pPr>
        <w:autoSpaceDE w:val="0"/>
        <w:autoSpaceDN w:val="0"/>
        <w:adjustRightInd w:val="0"/>
        <w:snapToGrid w:val="0"/>
        <w:spacing w:line="312" w:lineRule="auto"/>
        <w:ind w:right="24" w:firstLine="422" w:firstLineChars="200"/>
        <w:rPr>
          <w:rFonts w:hint="eastAsia" w:ascii="仿宋" w:hAnsi="仿宋" w:eastAsia="仿宋" w:cs="仿宋"/>
          <w:b/>
          <w:snapToGrid w:val="0"/>
          <w:kern w:val="21"/>
          <w:szCs w:val="32"/>
        </w:rPr>
      </w:pPr>
      <w:r>
        <w:rPr>
          <w:rFonts w:hint="eastAsia" w:ascii="仿宋" w:hAnsi="仿宋" w:eastAsia="仿宋" w:cs="仿宋"/>
          <w:b/>
          <w:snapToGrid w:val="0"/>
          <w:kern w:val="21"/>
          <w:szCs w:val="32"/>
        </w:rPr>
        <w:t>二、人民币合格投资者开展境外投资的，不得将人民币资金汇出境外购汇。</w:t>
      </w:r>
    </w:p>
    <w:p>
      <w:pPr>
        <w:autoSpaceDE w:val="0"/>
        <w:autoSpaceDN w:val="0"/>
        <w:adjustRightInd w:val="0"/>
        <w:snapToGrid w:val="0"/>
        <w:spacing w:line="312" w:lineRule="auto"/>
        <w:ind w:right="24" w:firstLine="420" w:firstLineChars="200"/>
        <w:rPr>
          <w:rFonts w:hint="eastAsia" w:ascii="仿宋" w:hAnsi="仿宋" w:eastAsia="仿宋" w:cs="仿宋"/>
          <w:snapToGrid w:val="0"/>
          <w:kern w:val="21"/>
          <w:szCs w:val="32"/>
        </w:rPr>
      </w:pPr>
      <w:r>
        <w:rPr>
          <w:rFonts w:hint="eastAsia" w:ascii="仿宋" w:hAnsi="仿宋" w:eastAsia="仿宋" w:cs="仿宋"/>
          <w:snapToGrid w:val="0"/>
          <w:kern w:val="21"/>
          <w:szCs w:val="32"/>
        </w:rPr>
        <w:t>三、人民币合格投资者开展境外投资的，应当按照规定向中国人民银行上海总部报送人民币合格投资者基本情况、托管银行、资金来源及规模、投资计划、资金汇出入、境外持仓情况等信息。</w:t>
      </w:r>
    </w:p>
    <w:p>
      <w:pPr>
        <w:autoSpaceDE w:val="0"/>
        <w:autoSpaceDN w:val="0"/>
        <w:adjustRightInd w:val="0"/>
        <w:snapToGrid w:val="0"/>
        <w:spacing w:line="312" w:lineRule="auto"/>
        <w:ind w:right="24" w:firstLine="420" w:firstLineChars="200"/>
        <w:rPr>
          <w:rFonts w:hint="eastAsia" w:ascii="仿宋" w:hAnsi="仿宋" w:eastAsia="仿宋" w:cs="仿宋"/>
          <w:snapToGrid w:val="0"/>
          <w:kern w:val="21"/>
          <w:szCs w:val="32"/>
        </w:rPr>
      </w:pPr>
      <w:r>
        <w:rPr>
          <w:rFonts w:hint="eastAsia" w:ascii="仿宋" w:hAnsi="仿宋" w:eastAsia="仿宋" w:cs="仿宋"/>
          <w:snapToGrid w:val="0"/>
          <w:kern w:val="21"/>
          <w:szCs w:val="32"/>
        </w:rPr>
        <w:t>四、中国人民银行根据跨境资金流动形势、离岸人民币市场流动性及人民币产品发展情况等因素对人民币合格投资者境外投资实施宏观审慎管理。</w:t>
      </w:r>
    </w:p>
    <w:p>
      <w:pPr>
        <w:autoSpaceDE w:val="0"/>
        <w:autoSpaceDN w:val="0"/>
        <w:adjustRightInd w:val="0"/>
        <w:snapToGrid w:val="0"/>
        <w:spacing w:line="312" w:lineRule="auto"/>
        <w:ind w:right="24" w:firstLine="420" w:firstLineChars="200"/>
        <w:rPr>
          <w:rFonts w:hint="eastAsia" w:ascii="仿宋" w:hAnsi="仿宋" w:eastAsia="仿宋" w:cs="仿宋"/>
          <w:snapToGrid w:val="0"/>
          <w:kern w:val="21"/>
          <w:szCs w:val="32"/>
        </w:rPr>
      </w:pPr>
      <w:r>
        <w:rPr>
          <w:rFonts w:hint="eastAsia" w:ascii="仿宋" w:hAnsi="仿宋" w:eastAsia="仿宋" w:cs="仿宋"/>
          <w:snapToGrid w:val="0"/>
          <w:kern w:val="21"/>
          <w:szCs w:val="32"/>
        </w:rPr>
        <w:t>五、境内托管银行应当按照相关规定和展业原则，加强对人民币合格投资者境外投资行为的真实性、合规性审核，确保相关业务依法依规开展，并按照银发〔2014〕331号文要求通过人民币跨境收付信息管理系统向中国人民银行报送相关信息。</w:t>
      </w:r>
    </w:p>
    <w:p>
      <w:pPr>
        <w:autoSpaceDE w:val="0"/>
        <w:autoSpaceDN w:val="0"/>
        <w:adjustRightInd w:val="0"/>
        <w:snapToGrid w:val="0"/>
        <w:spacing w:line="312" w:lineRule="auto"/>
        <w:ind w:right="24" w:firstLine="420" w:firstLineChars="200"/>
        <w:rPr>
          <w:rFonts w:hint="eastAsia" w:ascii="仿宋" w:hAnsi="仿宋" w:eastAsia="仿宋" w:cs="仿宋"/>
          <w:snapToGrid w:val="0"/>
          <w:kern w:val="21"/>
          <w:szCs w:val="32"/>
        </w:rPr>
      </w:pPr>
      <w:r>
        <w:rPr>
          <w:rFonts w:hint="eastAsia" w:ascii="仿宋" w:hAnsi="仿宋" w:eastAsia="仿宋" w:cs="仿宋"/>
          <w:snapToGrid w:val="0"/>
          <w:kern w:val="21"/>
          <w:szCs w:val="32"/>
        </w:rPr>
        <w:t>六、中国人民银行上海总部应当根据本通知制定相应实施细则以及信息报表，做好人民币合格投资者的信息监测工作，加强对人民币合格投资者的事中事后监督管理，定期向中国人民银行报送人民币合格投资者投资的相关情况。</w:t>
      </w:r>
    </w:p>
    <w:p>
      <w:pPr>
        <w:autoSpaceDE w:val="0"/>
        <w:autoSpaceDN w:val="0"/>
        <w:adjustRightInd w:val="0"/>
        <w:snapToGrid w:val="0"/>
        <w:spacing w:line="312" w:lineRule="auto"/>
        <w:ind w:right="24" w:firstLine="420" w:firstLineChars="200"/>
        <w:rPr>
          <w:rFonts w:hint="eastAsia" w:ascii="仿宋" w:hAnsi="仿宋" w:eastAsia="仿宋" w:cs="仿宋"/>
          <w:snapToGrid w:val="0"/>
          <w:kern w:val="21"/>
          <w:szCs w:val="32"/>
        </w:rPr>
      </w:pPr>
      <w:r>
        <w:rPr>
          <w:rFonts w:hint="eastAsia" w:ascii="仿宋" w:hAnsi="仿宋" w:eastAsia="仿宋" w:cs="仿宋"/>
          <w:snapToGrid w:val="0"/>
          <w:kern w:val="21"/>
          <w:szCs w:val="32"/>
        </w:rPr>
        <w:t>七、对违反业务办理、信息报送相关规定的人民币合格投资者及其境内托管银行，中国人民银行采取通报、限期整改等监管措施。</w:t>
      </w:r>
    </w:p>
    <w:p>
      <w:pPr>
        <w:autoSpaceDE w:val="0"/>
        <w:autoSpaceDN w:val="0"/>
        <w:adjustRightInd w:val="0"/>
        <w:snapToGrid w:val="0"/>
        <w:spacing w:line="312" w:lineRule="auto"/>
        <w:ind w:right="24" w:firstLine="420" w:firstLineChars="200"/>
        <w:rPr>
          <w:rFonts w:hint="eastAsia" w:ascii="仿宋" w:hAnsi="仿宋" w:eastAsia="仿宋" w:cs="仿宋"/>
          <w:snapToGrid w:val="0"/>
          <w:kern w:val="21"/>
          <w:szCs w:val="32"/>
        </w:rPr>
      </w:pPr>
      <w:r>
        <w:rPr>
          <w:rFonts w:hint="eastAsia" w:ascii="仿宋" w:hAnsi="仿宋" w:eastAsia="仿宋" w:cs="仿宋"/>
          <w:snapToGrid w:val="0"/>
          <w:kern w:val="21"/>
          <w:szCs w:val="32"/>
        </w:rPr>
        <w:t>八、本通知自印发之日起施行。</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