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96" w:name="_Toc29376"/>
      <w:bookmarkStart w:id="697" w:name="_Toc5048771"/>
      <w:r>
        <w:rPr>
          <w:rFonts w:hint="eastAsia"/>
        </w:rPr>
        <w:t>279--中国人民银行关于拓宽人民币购售业务范围的通知</w:t>
      </w:r>
      <w:r>
        <w:rPr>
          <w:rFonts w:hint="eastAsia"/>
        </w:rPr>
        <w:br w:type="textWrapping"/>
      </w:r>
      <w:r>
        <w:rPr>
          <w:rFonts w:hint="eastAsia"/>
        </w:rPr>
        <w:t>（银发〔2015〕250号）</w:t>
      </w:r>
      <w:bookmarkEnd w:id="696"/>
      <w:bookmarkEnd w:id="697"/>
    </w:p>
    <w:p>
      <w:pPr>
        <w:widowControl/>
        <w:jc w:val="left"/>
        <w:rPr>
          <w:rFonts w:hint="eastAsia" w:ascii="仿宋" w:hAnsi="仿宋" w:eastAsia="仿宋" w:cs="仿宋"/>
          <w:szCs w:val="21"/>
        </w:rPr>
      </w:pPr>
    </w:p>
    <w:p>
      <w:pPr>
        <w:widowControl/>
        <w:adjustRightInd w:val="0"/>
        <w:snapToGrid w:val="0"/>
        <w:spacing w:line="312" w:lineRule="auto"/>
        <w:jc w:val="left"/>
        <w:rPr>
          <w:rFonts w:hint="eastAsia" w:ascii="仿宋" w:hAnsi="仿宋" w:eastAsia="仿宋" w:cs="仿宋"/>
          <w:szCs w:val="21"/>
        </w:rPr>
      </w:pPr>
      <w:r>
        <w:rPr>
          <w:rFonts w:hint="eastAsia" w:ascii="仿宋" w:hAnsi="仿宋" w:eastAsia="仿宋" w:cs="仿宋"/>
          <w:szCs w:val="21"/>
        </w:rPr>
        <w:t>中国人民银行上海总部，各分行、营业管理部，各省会（首府）城市中心支行，各副省级城市中心支行；国家开发银行，各政策性银行、国有商业银行、股份制商业银行，中国邮政储蓄银行：</w:t>
      </w:r>
    </w:p>
    <w:p>
      <w:pPr>
        <w:widowControl/>
        <w:adjustRightInd w:val="0"/>
        <w:snapToGrid w:val="0"/>
        <w:spacing w:line="312" w:lineRule="auto"/>
        <w:ind w:firstLine="420" w:firstLineChars="200"/>
        <w:jc w:val="left"/>
        <w:rPr>
          <w:rFonts w:hint="eastAsia" w:ascii="仿宋" w:hAnsi="仿宋" w:eastAsia="仿宋" w:cs="仿宋"/>
          <w:szCs w:val="21"/>
        </w:rPr>
      </w:pPr>
      <w:r>
        <w:rPr>
          <w:rFonts w:hint="eastAsia" w:ascii="仿宋" w:hAnsi="仿宋" w:eastAsia="仿宋" w:cs="仿宋"/>
          <w:szCs w:val="21"/>
        </w:rPr>
        <w:t>为促进人民币跨境使用，进一步推进金融改革，根据《中华人民共和国中国人民银行法》等法律法规，现就拓宽人民币购售业务范围有关事项通知如下：</w:t>
      </w:r>
    </w:p>
    <w:p>
      <w:pPr>
        <w:widowControl/>
        <w:adjustRightInd w:val="0"/>
        <w:snapToGrid w:val="0"/>
        <w:spacing w:line="312" w:lineRule="auto"/>
        <w:ind w:firstLine="420" w:firstLineChars="200"/>
        <w:jc w:val="left"/>
        <w:rPr>
          <w:rFonts w:hint="eastAsia" w:ascii="仿宋" w:hAnsi="仿宋" w:eastAsia="仿宋" w:cs="仿宋"/>
          <w:szCs w:val="21"/>
        </w:rPr>
      </w:pPr>
      <w:r>
        <w:rPr>
          <w:rFonts w:hint="eastAsia" w:ascii="仿宋" w:hAnsi="仿宋" w:eastAsia="仿宋" w:cs="仿宋"/>
          <w:szCs w:val="21"/>
        </w:rPr>
        <w:t>一、境内代理行或境外清算行与境外参加行可为货物贸易、服务贸易和直接投资项下的跨境人民币结算需求办理人民币购售业务，交易品种包括即期、远期和掉期交易。境内代理行和境外清算行应当要求境外参加行加强对客户购售需求的真实性审核。</w:t>
      </w:r>
    </w:p>
    <w:p>
      <w:pPr>
        <w:widowControl/>
        <w:adjustRightInd w:val="0"/>
        <w:snapToGrid w:val="0"/>
        <w:spacing w:line="312" w:lineRule="auto"/>
        <w:ind w:firstLine="420" w:firstLineChars="200"/>
        <w:jc w:val="left"/>
        <w:rPr>
          <w:rFonts w:hint="eastAsia" w:ascii="仿宋" w:hAnsi="仿宋" w:eastAsia="仿宋" w:cs="仿宋"/>
          <w:szCs w:val="21"/>
        </w:rPr>
      </w:pPr>
      <w:r>
        <w:rPr>
          <w:rFonts w:hint="eastAsia" w:ascii="仿宋" w:hAnsi="仿宋" w:eastAsia="仿宋" w:cs="仿宋"/>
          <w:szCs w:val="21"/>
        </w:rPr>
        <w:t>二、境内代理行和境外清算行应当及时准确地向人民币跨境收付信息管理系统报送人民币购售业务信息。</w:t>
      </w:r>
    </w:p>
    <w:p>
      <w:pPr>
        <w:widowControl/>
        <w:adjustRightInd w:val="0"/>
        <w:snapToGrid w:val="0"/>
        <w:spacing w:line="312" w:lineRule="auto"/>
        <w:ind w:firstLine="420" w:firstLineChars="200"/>
        <w:jc w:val="left"/>
        <w:rPr>
          <w:rFonts w:hint="eastAsia" w:ascii="仿宋" w:hAnsi="仿宋" w:eastAsia="仿宋" w:cs="仿宋"/>
          <w:szCs w:val="21"/>
        </w:rPr>
      </w:pPr>
      <w:r>
        <w:rPr>
          <w:rFonts w:hint="eastAsia" w:ascii="仿宋" w:hAnsi="仿宋" w:eastAsia="仿宋" w:cs="仿宋"/>
          <w:szCs w:val="21"/>
        </w:rPr>
        <w:t>三、与人民币购售业务有关的人民币代理结算协议应当明确境外参加行的以下义务：一是企业客户在境外参加行办理人民币购售业务后，须在同一家银行完成购售相关的支付；二是境外参加行应当关注异常交易，监测客户大额购售业务的资金流向，及时通过境内代理行或境外清算行向人民银行报告有关情况。</w:t>
      </w:r>
    </w:p>
    <w:p>
      <w:pPr>
        <w:widowControl/>
        <w:adjustRightInd w:val="0"/>
        <w:snapToGrid w:val="0"/>
        <w:spacing w:line="312" w:lineRule="auto"/>
        <w:ind w:firstLine="420" w:firstLineChars="200"/>
        <w:jc w:val="left"/>
        <w:rPr>
          <w:rFonts w:hint="eastAsia" w:ascii="仿宋" w:hAnsi="仿宋" w:eastAsia="仿宋" w:cs="仿宋"/>
          <w:szCs w:val="21"/>
        </w:rPr>
      </w:pPr>
      <w:r>
        <w:rPr>
          <w:rFonts w:hint="eastAsia" w:ascii="仿宋" w:hAnsi="仿宋" w:eastAsia="仿宋" w:cs="仿宋"/>
          <w:szCs w:val="21"/>
        </w:rPr>
        <w:t>四、本通知自印发之日起施行。《中国人民银行关于明确跨境人民币业务相关问题的通知》（银发〔2011〕145号）第十一条、第十二条、《中国人民银行关于调整人民币购售业务管理的通知》（银发〔2013〕321号）第一条的规定与本通知不一致的，以本通知为准。</w:t>
      </w:r>
    </w:p>
    <w:p>
      <w:pPr>
        <w:widowControl/>
        <w:adjustRightInd w:val="0"/>
        <w:snapToGrid w:val="0"/>
        <w:spacing w:line="312" w:lineRule="auto"/>
        <w:ind w:firstLine="420" w:firstLineChars="200"/>
        <w:jc w:val="left"/>
        <w:rPr>
          <w:rFonts w:hint="eastAsia" w:ascii="仿宋" w:hAnsi="仿宋" w:eastAsia="仿宋" w:cs="仿宋"/>
          <w:szCs w:val="21"/>
        </w:rPr>
      </w:pPr>
    </w:p>
    <w:p>
      <w:pPr>
        <w:widowControl/>
        <w:adjustRightInd w:val="0"/>
        <w:snapToGrid w:val="0"/>
        <w:spacing w:line="312" w:lineRule="auto"/>
        <w:ind w:firstLine="420" w:firstLineChars="200"/>
        <w:jc w:val="left"/>
        <w:rPr>
          <w:rFonts w:hint="eastAsia" w:ascii="仿宋" w:hAnsi="仿宋" w:eastAsia="仿宋" w:cs="仿宋"/>
          <w:szCs w:val="21"/>
        </w:rPr>
      </w:pPr>
    </w:p>
    <w:p>
      <w:pPr>
        <w:widowControl/>
        <w:adjustRightInd w:val="0"/>
        <w:snapToGrid w:val="0"/>
        <w:spacing w:line="312" w:lineRule="auto"/>
        <w:ind w:firstLine="420" w:firstLineChars="200"/>
        <w:jc w:val="left"/>
        <w:rPr>
          <w:rFonts w:hint="eastAsia" w:ascii="仿宋" w:hAnsi="仿宋" w:eastAsia="仿宋" w:cs="仿宋"/>
          <w:szCs w:val="21"/>
        </w:rPr>
      </w:pPr>
    </w:p>
    <w:p>
      <w:pPr>
        <w:widowControl/>
        <w:adjustRightInd w:val="0"/>
        <w:snapToGrid w:val="0"/>
        <w:spacing w:line="312" w:lineRule="auto"/>
        <w:ind w:firstLine="420" w:firstLineChars="200"/>
        <w:jc w:val="right"/>
        <w:rPr>
          <w:rFonts w:hint="eastAsia" w:ascii="仿宋" w:hAnsi="仿宋" w:eastAsia="仿宋" w:cs="仿宋"/>
          <w:szCs w:val="21"/>
        </w:rPr>
      </w:pPr>
      <w:r>
        <w:rPr>
          <w:rFonts w:hint="eastAsia" w:ascii="仿宋" w:hAnsi="仿宋" w:eastAsia="仿宋" w:cs="仿宋"/>
          <w:szCs w:val="21"/>
        </w:rPr>
        <w:t>中国人民银行</w:t>
      </w:r>
    </w:p>
    <w:p>
      <w:pPr>
        <w:widowControl/>
        <w:adjustRightInd w:val="0"/>
        <w:snapToGrid w:val="0"/>
        <w:spacing w:line="312" w:lineRule="auto"/>
        <w:ind w:firstLine="420" w:firstLineChars="200"/>
        <w:jc w:val="right"/>
        <w:rPr>
          <w:rFonts w:hint="eastAsia" w:ascii="仿宋" w:hAnsi="仿宋" w:eastAsia="仿宋" w:cs="仿宋"/>
          <w:szCs w:val="21"/>
        </w:rPr>
      </w:pPr>
      <w:r>
        <w:rPr>
          <w:rFonts w:hint="eastAsia" w:ascii="仿宋" w:hAnsi="仿宋" w:eastAsia="仿宋" w:cs="仿宋"/>
          <w:szCs w:val="21"/>
        </w:rPr>
        <w:t>2015年8月13日</w:t>
      </w:r>
    </w:p>
    <w:p>
      <w:pPr>
        <w:widowControl/>
        <w:jc w:val="left"/>
        <w:rPr>
          <w:rFonts w:hint="eastAsia" w:ascii="仿宋" w:hAnsi="仿宋" w:eastAsia="仿宋" w:cs="仿宋"/>
          <w:szCs w:val="21"/>
        </w:rPr>
      </w:pP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