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728" w:name="_Toc5048786"/>
      <w:bookmarkStart w:id="729" w:name="_Toc28370"/>
      <w:r>
        <w:rPr>
          <w:rFonts w:hint="eastAsia"/>
        </w:rPr>
        <w:t>289--中国人民银行关于下调金融机构存款准备金率的通知</w:t>
      </w:r>
      <w:r>
        <w:rPr>
          <w:rFonts w:hint="eastAsia"/>
        </w:rPr>
        <w:br w:type="textWrapping"/>
      </w:r>
      <w:r>
        <w:rPr>
          <w:rFonts w:hint="eastAsia"/>
        </w:rPr>
        <w:t>（银发〔2015〕327号）</w:t>
      </w:r>
      <w:bookmarkEnd w:id="728"/>
      <w:bookmarkEnd w:id="729"/>
    </w:p>
    <w:p>
      <w:pPr>
        <w:adjustRightInd w:val="0"/>
        <w:snapToGrid w:val="0"/>
        <w:spacing w:line="312" w:lineRule="auto"/>
        <w:rPr>
          <w:rFonts w:hint="eastAsia"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中国人民银行上海总部，各分行、营业管理部，各省会（首府）城市中心支行，深圳市中心支行，中国农业发展银行，国有商业银行，股份制商业银行，中国邮政储蓄银行: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为加大金融支持“三农”和小微企业的正向激励，增强宏观调控的精准性和有效性，促进流动性合理充裕和货币信贷适度增长，中国人民银行决定自2015年10月24日起普遍下调金融机构人民币存款准备金率0.5个百分点，同时对符合条件的金融机构下调人民币存款准备金率0.5个百分点（详见附表）.现就有关事项通知如下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一、下调中国农业发展银行人民币存款准备金率1个百分点至9%。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二、对满足审慎经营要求，同时上年“三农”或小微企业贷款增量占比达到一定比例的国有商业银行、股份制商业银行、城市商业银行、非县域农村商业银行和外资银行在普降0.5个百分点的基础上，额外降低人民币存款准备金率0.5个百分点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（一）满足审慎经营要求是指:国有商业银行和股份制商业银行按照《金融机构合格审慎评估实施办法》（银办发〔2014〕24号文印发）2015年评估结果为达标；城市商业银行、非县域农村商业银行和外资银行2015年三季度末资本充足率达到《商业银行资本管理办法（试行）》（中国银行业监督管理委员会令2012年第1号）及《中国银监会关于实施＜商业银行资本管理办法（试行）＞过渡期安排相关事项的通知》（银监发〔2012〕57号）规定的最低要求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（二）“三农”或小微企业贷款增量占比达到一定比例是指：上年度本外币涉农贷款增量占全部新增本外币贷款比例超过15%；或上年度人民币小微企业贷款（含个人经营性贷款）增量占全部新增人民币贷款比例超过15%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（三）此次调整后，国有商业银行执行17.5%的存款准备金率。其中，满足本次定向降准标准，但在2015年初考核中未达到2014年6月定向降准标准的，执行17%的存款准备金率；在2015年初考核中满足2014年6月定向降准标准的，执行16%的存款准备金率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（四）此次调整后，股份制商业银行，城市商业银行，非县域农村商业银行和外资银行执行15.5%的存款准备金率，其中满足本次定向降准标准，但在2015年初考核中未达到2014年6月定向降准标准的，执行15%的存款准备金率；在2015年初考核中满足2014年6月定向降准标准的，执行14%的存款准备金率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三、下调县域农村商业银行人民币存款准备金率1个百分点至12.5%。其中，满足新增存款投放当地达到一定比例的，相应下调其人民币存款准备金率至11.5%。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四、下调农村合作银行、农村信用社和村镇银行人民币存款准备金率1个百分点至9.5%。其中，满足新增存款投放当地达到一定比例的，相应下调其人民币存款准备金率至8.5%。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五、下调中国邮政储蓄银行存款准备金率1个百分点至17%六，下调财务公司，金融租赁公司和汽车金融公司人民币存款准备金率0.5个百分点至7.5%。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中国人民银行上海总部，各分支行要严格按照有关规定做好此次存款准备金率调整工作，确保顺利实施，遇有重大紧急情况及时报告总行。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请中国人民银行上海总部、各分支行将本通知转发至辖区内城市商业银行、农村商业银行、农村合作银行、农村信用社、村镇银行、财务公司、金融租赁公司，汽车金融公司和有关外资金融机构</w:t>
      </w:r>
    </w:p>
    <w:p>
      <w:pPr>
        <w:widowControl/>
        <w:jc w:val="left"/>
        <w:rPr>
          <w:rFonts w:hint="eastAsia"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br w:type="page"/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附表:存款准备金率调整表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  <w:szCs w:val="21"/>
        </w:rPr>
      </w:pPr>
    </w:p>
    <w:tbl>
      <w:tblPr>
        <w:tblStyle w:val="27"/>
        <w:tblW w:w="821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969"/>
        <w:gridCol w:w="1134"/>
        <w:gridCol w:w="12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58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after="160" w:line="276" w:lineRule="auto"/>
              <w:ind w:firstLine="422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Cs w:val="21"/>
              </w:rPr>
              <w:t>机构类型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160" w:line="276" w:lineRule="auto"/>
              <w:ind w:firstLine="422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Cs w:val="21"/>
              </w:rPr>
              <w:t>调整前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160" w:line="276" w:lineRule="auto"/>
              <w:ind w:firstLine="422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Cs w:val="21"/>
              </w:rPr>
              <w:t>调整后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after="160" w:line="276" w:lineRule="auto"/>
              <w:jc w:val="center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中国农业发展银行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after="160" w:line="276" w:lineRule="auto"/>
              <w:jc w:val="righ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10.0%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after="160" w:line="276" w:lineRule="auto"/>
              <w:jc w:val="righ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9.0%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38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160" w:line="276" w:lineRule="auto"/>
              <w:jc w:val="lef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中国工商银行、中国农业银行、中国银行,中国建设银行、交通银行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160" w:line="276" w:lineRule="auto"/>
              <w:jc w:val="lef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正常标准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after="160" w:line="276" w:lineRule="auto"/>
              <w:jc w:val="righ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18.0%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after="160" w:line="276" w:lineRule="auto"/>
              <w:jc w:val="righ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17.5%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83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60" w:line="276" w:lineRule="auto"/>
              <w:jc w:val="left"/>
              <w:rPr>
                <w:rFonts w:hint="eastAsia" w:ascii="仿宋" w:hAnsi="仿宋" w:eastAsia="仿宋" w:cs="仿宋"/>
                <w:kern w:val="0"/>
                <w:szCs w:val="21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160" w:line="276" w:lineRule="auto"/>
              <w:jc w:val="lef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符合审慎经营要求且“三农”或小微企业贷款增量达到15%,但存量和增量未达到30%和50%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after="160" w:line="276" w:lineRule="auto"/>
              <w:jc w:val="righ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18.0%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after="160" w:line="276" w:lineRule="auto"/>
              <w:jc w:val="righ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17.0%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83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60" w:line="276" w:lineRule="auto"/>
              <w:jc w:val="left"/>
              <w:rPr>
                <w:rFonts w:hint="eastAsia" w:ascii="仿宋" w:hAnsi="仿宋" w:eastAsia="仿宋" w:cs="仿宋"/>
                <w:kern w:val="0"/>
                <w:szCs w:val="21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160" w:line="276" w:lineRule="auto"/>
              <w:jc w:val="lef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符合审慎经营要求且“三农”或小微企业贷款达到一定比例(存量达到30%、增量达到50%)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after="160" w:line="276" w:lineRule="auto"/>
              <w:jc w:val="righ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17.0%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after="160" w:line="276" w:lineRule="auto"/>
              <w:jc w:val="righ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16.0%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838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160" w:line="276" w:lineRule="auto"/>
              <w:jc w:val="lef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股份制商业银行,城市商业银行,非县域农村商业银行,外资银行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160" w:line="276" w:lineRule="auto"/>
              <w:jc w:val="lef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正常标准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after="160" w:line="276" w:lineRule="auto"/>
              <w:jc w:val="righ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16.0%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after="160" w:line="276" w:lineRule="auto"/>
              <w:jc w:val="righ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15.5%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83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60" w:line="276" w:lineRule="auto"/>
              <w:jc w:val="left"/>
              <w:rPr>
                <w:rFonts w:hint="eastAsia" w:ascii="仿宋" w:hAnsi="仿宋" w:eastAsia="仿宋" w:cs="仿宋"/>
                <w:kern w:val="0"/>
                <w:szCs w:val="21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160" w:line="276" w:lineRule="auto"/>
              <w:jc w:val="lef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符合审慎经营要求“三农”或小微企业贷款增量达到15%,但存量和增量未达到30%和50%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after="160" w:line="276" w:lineRule="auto"/>
              <w:jc w:val="righ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16.0%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after="160" w:line="276" w:lineRule="auto"/>
              <w:jc w:val="righ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15.0%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83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60" w:line="276" w:lineRule="auto"/>
              <w:jc w:val="left"/>
              <w:rPr>
                <w:rFonts w:hint="eastAsia" w:ascii="仿宋" w:hAnsi="仿宋" w:eastAsia="仿宋" w:cs="仿宋"/>
                <w:kern w:val="0"/>
                <w:szCs w:val="21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160" w:line="276" w:lineRule="auto"/>
              <w:jc w:val="lef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符合审慎经营要求且“三农”或小微企业贷款达到一定比例(存量达到30%、增量达到50%)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after="160" w:line="276" w:lineRule="auto"/>
              <w:jc w:val="righ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15.0%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after="160" w:line="276" w:lineRule="auto"/>
              <w:jc w:val="righ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14.0%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838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160" w:line="276" w:lineRule="auto"/>
              <w:jc w:val="lef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县域农村商业银行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160" w:line="276" w:lineRule="auto"/>
              <w:jc w:val="lef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正常标准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after="160" w:line="276" w:lineRule="auto"/>
              <w:jc w:val="righ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13.5%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after="160" w:line="276" w:lineRule="auto"/>
              <w:jc w:val="righ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12.5%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83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60" w:line="276" w:lineRule="auto"/>
              <w:jc w:val="left"/>
              <w:rPr>
                <w:rFonts w:hint="eastAsia" w:ascii="仿宋" w:hAnsi="仿宋" w:eastAsia="仿宋" w:cs="仿宋"/>
                <w:kern w:val="0"/>
                <w:szCs w:val="21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160" w:line="276" w:lineRule="auto"/>
              <w:jc w:val="lef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符合一定存款比例用于当地政策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after="160" w:line="276" w:lineRule="auto"/>
              <w:jc w:val="righ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12.5%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after="160" w:line="276" w:lineRule="auto"/>
              <w:jc w:val="righ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11.5%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838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160" w:line="276" w:lineRule="auto"/>
              <w:jc w:val="lef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农村合作银行、农村信用社、村镇银行</w:t>
            </w: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160" w:line="276" w:lineRule="auto"/>
              <w:jc w:val="lef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正常标准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after="160" w:line="276" w:lineRule="auto"/>
              <w:jc w:val="righ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10.5%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after="160" w:line="276" w:lineRule="auto"/>
              <w:jc w:val="righ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9.5%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83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60" w:line="276" w:lineRule="auto"/>
              <w:jc w:val="left"/>
              <w:rPr>
                <w:rFonts w:hint="eastAsia" w:ascii="仿宋" w:hAnsi="仿宋" w:eastAsia="仿宋" w:cs="仿宋"/>
                <w:kern w:val="0"/>
                <w:szCs w:val="21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160" w:line="276" w:lineRule="auto"/>
              <w:jc w:val="lef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符合一定存款比例用于当地政策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after="160" w:line="276" w:lineRule="auto"/>
              <w:jc w:val="righ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9.5%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after="160" w:line="276" w:lineRule="auto"/>
              <w:jc w:val="righ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8.5%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58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after="160" w:line="276" w:lineRule="auto"/>
              <w:jc w:val="lef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中国邮政储蓄银行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after="160" w:line="276" w:lineRule="auto"/>
              <w:jc w:val="righ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18.0%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after="160" w:line="276" w:lineRule="auto"/>
              <w:jc w:val="righ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17.0%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58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after="160" w:line="276" w:lineRule="auto"/>
              <w:jc w:val="lef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财务公司、金融租赁公司、汽车金融公司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after="160" w:line="276" w:lineRule="auto"/>
              <w:jc w:val="righ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8.0%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after="160" w:line="276" w:lineRule="auto"/>
              <w:jc w:val="right"/>
              <w:rPr>
                <w:rFonts w:hint="eastAsia" w:ascii="仿宋" w:hAnsi="仿宋" w:eastAsia="仿宋" w:cs="仿宋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Cs w:val="21"/>
              </w:rPr>
              <w:t>7.5%</w:t>
            </w:r>
          </w:p>
        </w:tc>
      </w:tr>
    </w:tbl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  <w:szCs w:val="21"/>
        </w:rPr>
      </w:pPr>
    </w:p>
    <w:p>
      <w:pPr>
        <w:widowControl/>
        <w:jc w:val="left"/>
        <w:rPr>
          <w:rFonts w:hint="eastAsia" w:ascii="仿宋" w:hAnsi="仿宋" w:eastAsia="仿宋" w:cs="仿宋"/>
          <w:szCs w:val="21"/>
        </w:rPr>
      </w:pPr>
    </w:p>
    <w:p>
      <w:pPr>
        <w:widowControl/>
        <w:jc w:val="left"/>
        <w:rPr>
          <w:rFonts w:hint="eastAsia" w:ascii="仿宋" w:hAnsi="仿宋" w:eastAsia="仿宋" w:cs="仿宋"/>
          <w:b/>
          <w:bCs/>
          <w:kern w:val="44"/>
          <w:szCs w:val="21"/>
        </w:rPr>
      </w:pPr>
      <w:r>
        <w:rPr>
          <w:rFonts w:hint="eastAsia" w:ascii="仿宋" w:hAnsi="仿宋" w:eastAsia="仿宋" w:cs="仿宋"/>
          <w:szCs w:val="21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