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768" w:name="_Toc6001"/>
      <w:bookmarkStart w:id="769" w:name="_Toc5048804"/>
      <w:r>
        <w:rPr>
          <w:rFonts w:hint="eastAsia"/>
        </w:rPr>
        <w:t>306--黄金及黄金制品进出口准许证事宜的公告</w:t>
      </w:r>
      <w:r>
        <w:rPr>
          <w:rFonts w:hint="eastAsia"/>
        </w:rPr>
        <w:br w:type="textWrapping"/>
      </w:r>
      <w:r>
        <w:rPr>
          <w:rFonts w:hint="eastAsia"/>
        </w:rPr>
        <w:t>（中国人民银行、海关总署公告〔2016〕第9号）</w:t>
      </w:r>
      <w:bookmarkEnd w:id="768"/>
      <w:bookmarkEnd w:id="769"/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根据《黄金及黄金制品进出口管理办法》（中国人民银行海关总署令〔2015〕第1号发布），为进一步简化审批手续，促进贸易便利化，中国人民银行、海关总署决定开展《中国人民银行黄金及黄金制品进出口准许证》（以下简称《准许证》）“非一批一证”（正、背面样式见附件）管理试点工作，现将有关事宜公告如下：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一、黄金及黄金制品进出口业务频繁的法人可以按照《黄金及黄金制品进出口管理办法》的条件和审批流程，申请“非一批一证”《准许证》。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二、实行“非一批一证”的《准许证》可以在有效期内、不超过规定数量和批次报关使用。具体做法是，海关在《准许证》正本背面“海关验放签注栏”内逐笔签注核减进（出）口的数量，报关批次最多不超过12次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三、“非一批一证”《准许证》自签发之日起6个月内有效，逾期自行失效。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四、在“非一批一证”《准许证》允许进（出）口的数量、批次未使用完之前，海关留存每次已签注的“非一批一证”《准许证》复印件。“非一批一证”《准许证》允许进（出）口的数量、批次核扣完毕，由海关收存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五、“非一批一证”《准许证》未使用过或未使用完毕的，被许可人应在《准许证》有效期满后10个工作日内将证件交回核发机构。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六、实行“非一批一证”《准许证》管理试点海关为北京、上海、广州、南京、青岛、深圳海关。其他海关，仍按照现行规定办理。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七、实行“非一批一证”《准许证》管理试点后，中国人民银行及其分支机构将对核发的《准许证》使用情况加强监督管理。“非一批一证”《准许证》的被许可人，应在“非一批一证”《准许证》有效期满后10个工作日内将黄金及黄金制品进出口情况（包括批次、验放日期、实际进出口数量等）报送中国人民银行及其分支机构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八、本公告自2016年6月1日起施行。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附件：中国人民银行黄金及黄金制品进出口准许证（非一批一证）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</w:t>
      </w:r>
    </w:p>
    <w:p>
      <w:pPr>
        <w:shd w:val="clear" w:color="auto" w:fill="FFFFFF"/>
        <w:tabs>
          <w:tab w:val="left" w:pos="3691"/>
        </w:tabs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海关总署</w:t>
      </w:r>
    </w:p>
    <w:p>
      <w:pPr>
        <w:shd w:val="clear" w:color="auto" w:fill="FFFFFF"/>
        <w:tabs>
          <w:tab w:val="left" w:pos="3691"/>
        </w:tabs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2016年4月26日</w:t>
      </w:r>
    </w:p>
    <w:p>
      <w:pPr>
        <w:widowControl/>
        <w:jc w:val="left"/>
        <w:rPr>
          <w:rFonts w:hint="eastAsia" w:ascii="仿宋" w:hAnsi="仿宋" w:eastAsia="仿宋" w:cs="仿宋"/>
          <w:b/>
          <w:bCs/>
          <w:kern w:val="44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