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797" w:name="_Toc15223"/>
      <w:bookmarkStart w:id="798" w:name="_Toc5048815"/>
      <w:r>
        <w:rPr>
          <w:rFonts w:hint="eastAsia"/>
        </w:rPr>
        <w:t>317--中国人民银行关于信用卡业务有关事项的通知</w:t>
      </w:r>
      <w:r>
        <w:rPr>
          <w:rFonts w:hint="eastAsia"/>
        </w:rPr>
        <w:br w:type="textWrapping"/>
      </w:r>
      <w:r>
        <w:rPr>
          <w:rFonts w:hint="eastAsia"/>
        </w:rPr>
        <w:t>（银发〔2016〕111号）</w:t>
      </w:r>
      <w:bookmarkEnd w:id="797"/>
      <w:bookmarkEnd w:id="798"/>
    </w:p>
    <w:p>
      <w:pPr>
        <w:shd w:val="clear" w:color="auto" w:fill="FFFFFF"/>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中国人民银行上海总部，各分行、营业管理部，各省会（首府）城市中心支行，深圳市中心支行；各国有商业银行、股份制商业银行，中国邮政储蓄银行；中国银联股份有限公司；中国支付清算协会：</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为完善信用卡业务市场化机制，提高信用卡服务水平，保障持卡人合法权益，促进信用卡市场健康发展，现就有关事项通知如下：</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一、利率标准</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对信用卡透支利率实行上限和下限管理，透支利率上限为日利率万分之五，透支利率下限为日利率万分之五的0.7倍。信用卡透支的计结息方式，以及对信用卡溢缴款是否计付利息及其利率标准，由发卡机构自主确定。</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二、免息还款期和最低还款额</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持卡人透支消费享受免息还款期和最低还款额待遇的条件和标准等，由发卡机构自主确定。</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三、违约金和服务费用</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取消信用卡滞纳金，对于持卡人违约逾期未还款的行为，发卡机构应与持卡人通过协议约定是否收取违约金，以及相关收取方式和标准。发卡机构向持卡人提供超过授信额度用卡服务的，不得收取超限费。发卡机构对向持卡人收取的违约金和年费、取现手续费、货币兑换费等服务费用不得计收利息。</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四、信用卡预借现金业务</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信用卡预借现金业务包括现金提取、现金转账和现金充值。其中，现金提取，是指持卡人通过柜面和自动柜员机（ATM）等自助机具，以现钞形式获得信用卡预借现金额度内资金；现金转账，是指持卡人将信用卡预借现金额度内资金划转到本人银行结算账户；现金充值，是指持卡人将信用卡预借现金额度内资金划转到本人在非银行支付机构开立的支付账户。</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持卡人通过ATM等自助机具办理现金提取业务，每卡每日累计不得超过人民币1万元；持卡人通过柜面办理现金提取业务、通过各类渠道办理现金转账业务的每卡每日限额，由发卡机构与持卡人通过协议约定；发卡机构可自主确定是否提供现金充值服务，并与持卡人协议约定每卡每日限额。发卡机构不得将持卡人信用卡预借现金额度内资金划转至其他信用卡，以及非持卡人的银行结算账户或支付账户。</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五、交易信息</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卡清算机构应会同发卡机构和收单机构，严格按照银行卡业务相关监管规定，进一步完善信用卡交易业务规则和技术标准。各发卡机构、收单机构应真实反映、准确标识现金提取、现金转账和现金充值等业务类型，完整传输交易信息，确保交易信息的真实性、完整性、可追溯性以及在支付过程中的一致性，便利发卡机构识别与判断风险，保障信用卡交易安全。</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六、信息披露义务</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（一）发卡机构应通过本机构网站等渠道，充分披露信用卡申请条件、产品功能、收费项目与标准、安全用卡知识和信用卡标准协议与章程等内容，并及时进行更新。</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发卡机构应在信用卡协议中以显著方式提示信用卡利率标准和计结息方式、免息还款期和最低还款额待遇的条件和标准，以及向持卡人收取违约金的详细情形和收取标准等与持卡人有重大利害关系的事项，确保持卡人充分知悉并确认接受。其中，对于信用卡利率标准，应注明日利率和年利率。</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（三）发卡机构调整信用卡利率标准的，应至少提前45个自然日按照约定方式通知持卡人。持卡人有权在新利率标准生效之日前选择销户，并按照已签订的协议偿还相关款项。</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七、非本人授权交易的处理</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持卡人提出伪卡交易和账户盗用等非本人授权交易时，发卡机构应及时引导持卡人留存证据，按照相关规则进行差错争议处理，并定期向持卡人反馈处理进度。鼓励发卡机构通过商业保险合作和计提风险补偿基金等方式，依法对持卡人损失予以合理补偿，切实保障持卡人合法权益。</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八、利率信息报送</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发卡机构调整信用卡透支利率、免息还款期、最低还款额等相关标准的，应提前60天向人民银行报告。信用卡利率纳入人民银行利率监测报备系统按月进行填报（详见附件），应于每月9日前完成对上月数据的报送工作，起始报送时间为2017年2月9日前，填报2017年1月相关信用卡利率信息。其中，全国性银行报送人民银行总行；其他银行业金融机构按属地化管理原则，报送法人所在地人民银行分支机构。</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九、信用卡业务自律管理</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充分发挥市场利率定价自律机制作用，对信用卡利率确定和计息规则等实施自律管理，维护市场正当竞争秩序。</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支付清算协会应按照信用卡业务相关监管制度要求和本通知规定，建立健全信用卡发卡流程、使用管理和客户服务等自律机制，制定信用卡协议与章程推荐范本，保障持卡人合法权益，促进信用卡市场有序发展。</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本通知自2017年1月1日起实施。此前人民银行发布的银行卡业务有关规定与本通知不一致的，以本通知为准。</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请人民银行分支机构将本通知转发至辖区内城市商业银行、农村商业银行、农村合作银行、农村信用社、村镇银行、外资银行和非银行支付机构。</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附件：1.信用卡透支利率分类统计表</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2.信用卡透支利率区间分布表</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2016年4月15日</w:t>
      </w:r>
    </w:p>
    <w:p>
      <w:pPr>
        <w:rPr>
          <w:rFonts w:hint="eastAsia" w:ascii="仿宋" w:hAnsi="仿宋" w:eastAsia="仿宋" w:cs="仿宋"/>
        </w:rPr>
      </w:pPr>
      <w:r>
        <w:rPr>
          <w:rFonts w:hint="eastAsia" w:ascii="仿宋" w:hAnsi="仿宋" w:eastAsia="仿宋" w:cs="仿宋"/>
        </w:rPr>
        <w:br w:type="page"/>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附件1</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制表：中国人民银行总行</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表号：银统438表</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信用卡透支利率分类统计表（月报）</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填报单位：</w:t>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填报时间：年　月　日</w:t>
      </w:r>
    </w:p>
    <w:tbl>
      <w:tblPr>
        <w:tblStyle w:val="27"/>
        <w:tblW w:w="829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626"/>
        <w:gridCol w:w="896"/>
        <w:gridCol w:w="896"/>
        <w:gridCol w:w="1328"/>
        <w:gridCol w:w="1771"/>
        <w:gridCol w:w="747"/>
        <w:gridCol w:w="836"/>
        <w:gridCol w:w="747"/>
        <w:gridCol w:w="44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626" w:type="dxa"/>
            <w:vMerge w:val="restart"/>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shd w:val="clear" w:color="auto" w:fill="FFFFFF"/>
              <w:adjustRightInd w:val="0"/>
              <w:snapToGrid w:val="0"/>
              <w:spacing w:after="160" w:line="276" w:lineRule="auto"/>
              <w:rPr>
                <w:rFonts w:hint="eastAsia" w:ascii="仿宋" w:hAnsi="仿宋" w:eastAsia="仿宋" w:cs="仿宋"/>
              </w:rPr>
            </w:pPr>
          </w:p>
        </w:tc>
        <w:tc>
          <w:tcPr>
            <w:tcW w:w="4891" w:type="dxa"/>
            <w:gridSpan w:val="4"/>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szCs w:val="24"/>
              </w:rPr>
            </w:pPr>
            <w:r>
              <w:rPr>
                <w:rFonts w:hint="eastAsia" w:ascii="仿宋" w:hAnsi="仿宋" w:eastAsia="仿宋" w:cs="仿宋"/>
              </w:rPr>
              <w:t>透支利率</w:t>
            </w:r>
          </w:p>
        </w:tc>
        <w:tc>
          <w:tcPr>
            <w:tcW w:w="747" w:type="dxa"/>
            <w:vMerge w:val="restart"/>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计息积数</w:t>
            </w:r>
          </w:p>
          <w:p>
            <w:pPr>
              <w:adjustRightInd w:val="0"/>
              <w:snapToGrid w:val="0"/>
              <w:spacing w:after="160" w:line="276" w:lineRule="auto"/>
              <w:rPr>
                <w:rFonts w:hint="eastAsia" w:ascii="仿宋" w:hAnsi="仿宋" w:eastAsia="仿宋" w:cs="仿宋"/>
              </w:rPr>
            </w:pPr>
            <w:r>
              <w:rPr>
                <w:rFonts w:hint="eastAsia" w:ascii="仿宋" w:hAnsi="仿宋" w:eastAsia="仿宋" w:cs="仿宋"/>
              </w:rPr>
              <w:t>（亿元）</w:t>
            </w:r>
          </w:p>
        </w:tc>
        <w:tc>
          <w:tcPr>
            <w:tcW w:w="836" w:type="dxa"/>
            <w:vMerge w:val="restart"/>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在用发卡量</w:t>
            </w:r>
          </w:p>
          <w:p>
            <w:pPr>
              <w:adjustRightInd w:val="0"/>
              <w:snapToGrid w:val="0"/>
              <w:spacing w:after="160" w:line="276" w:lineRule="auto"/>
              <w:rPr>
                <w:rFonts w:hint="eastAsia" w:ascii="仿宋" w:hAnsi="仿宋" w:eastAsia="仿宋" w:cs="仿宋"/>
              </w:rPr>
            </w:pPr>
            <w:r>
              <w:rPr>
                <w:rFonts w:hint="eastAsia" w:ascii="仿宋" w:hAnsi="仿宋" w:eastAsia="仿宋" w:cs="仿宋"/>
              </w:rPr>
              <w:t>（万张）</w:t>
            </w:r>
          </w:p>
        </w:tc>
        <w:tc>
          <w:tcPr>
            <w:tcW w:w="747" w:type="dxa"/>
            <w:vMerge w:val="restart"/>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期末应偿</w:t>
            </w:r>
          </w:p>
          <w:p>
            <w:pPr>
              <w:adjustRightInd w:val="0"/>
              <w:snapToGrid w:val="0"/>
              <w:spacing w:after="160" w:line="276" w:lineRule="auto"/>
              <w:rPr>
                <w:rFonts w:hint="eastAsia" w:ascii="仿宋" w:hAnsi="仿宋" w:eastAsia="仿宋" w:cs="仿宋"/>
              </w:rPr>
            </w:pPr>
            <w:r>
              <w:rPr>
                <w:rFonts w:hint="eastAsia" w:ascii="仿宋" w:hAnsi="仿宋" w:eastAsia="仿宋" w:cs="仿宋"/>
              </w:rPr>
              <w:t>信贷余额</w:t>
            </w:r>
          </w:p>
          <w:p>
            <w:pPr>
              <w:adjustRightInd w:val="0"/>
              <w:snapToGrid w:val="0"/>
              <w:spacing w:after="160" w:line="276" w:lineRule="auto"/>
              <w:rPr>
                <w:rFonts w:hint="eastAsia" w:ascii="仿宋" w:hAnsi="仿宋" w:eastAsia="仿宋" w:cs="仿宋"/>
              </w:rPr>
            </w:pPr>
            <w:r>
              <w:rPr>
                <w:rFonts w:hint="eastAsia" w:ascii="仿宋" w:hAnsi="仿宋" w:eastAsia="仿宋" w:cs="仿宋"/>
              </w:rPr>
              <w:t>（亿元）</w:t>
            </w:r>
          </w:p>
        </w:tc>
        <w:tc>
          <w:tcPr>
            <w:tcW w:w="449" w:type="dxa"/>
            <w:vMerge w:val="restart"/>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备注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626" w:type="dxa"/>
            <w:vMerge w:val="continue"/>
            <w:tcBorders>
              <w:top w:val="outset" w:color="auto" w:sz="6" w:space="0"/>
              <w:left w:val="outset" w:color="auto" w:sz="6" w:space="0"/>
              <w:bottom w:val="outset" w:color="auto" w:sz="6" w:space="0"/>
              <w:right w:val="outset" w:color="auto" w:sz="6" w:space="0"/>
            </w:tcBorders>
            <w:vAlign w:val="bottom"/>
          </w:tcPr>
          <w:p>
            <w:pPr>
              <w:adjustRightInd w:val="0"/>
              <w:snapToGrid w:val="0"/>
              <w:spacing w:after="160" w:line="276" w:lineRule="auto"/>
              <w:rPr>
                <w:rFonts w:hint="eastAsia" w:ascii="仿宋" w:hAnsi="仿宋" w:eastAsia="仿宋" w:cs="仿宋"/>
                <w:szCs w:val="24"/>
              </w:rPr>
            </w:pPr>
          </w:p>
        </w:tc>
        <w:tc>
          <w:tcPr>
            <w:tcW w:w="896"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最高年利率</w:t>
            </w:r>
          </w:p>
          <w:p>
            <w:pPr>
              <w:adjustRightInd w:val="0"/>
              <w:snapToGrid w:val="0"/>
              <w:spacing w:after="160" w:line="276" w:lineRule="auto"/>
              <w:rPr>
                <w:rFonts w:hint="eastAsia" w:ascii="仿宋" w:hAnsi="仿宋" w:eastAsia="仿宋" w:cs="仿宋"/>
              </w:rPr>
            </w:pPr>
            <w:r>
              <w:rPr>
                <w:rFonts w:hint="eastAsia" w:ascii="仿宋" w:hAnsi="仿宋" w:eastAsia="仿宋" w:cs="仿宋"/>
              </w:rPr>
              <w:t>（%）</w:t>
            </w:r>
          </w:p>
        </w:tc>
        <w:tc>
          <w:tcPr>
            <w:tcW w:w="896"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最低年利率</w:t>
            </w:r>
          </w:p>
          <w:p>
            <w:pPr>
              <w:adjustRightInd w:val="0"/>
              <w:snapToGrid w:val="0"/>
              <w:spacing w:after="160" w:line="276" w:lineRule="auto"/>
              <w:rPr>
                <w:rFonts w:hint="eastAsia" w:ascii="仿宋" w:hAnsi="仿宋" w:eastAsia="仿宋" w:cs="仿宋"/>
              </w:rPr>
            </w:pPr>
            <w:r>
              <w:rPr>
                <w:rFonts w:hint="eastAsia" w:ascii="仿宋" w:hAnsi="仿宋" w:eastAsia="仿宋" w:cs="仿宋"/>
              </w:rPr>
              <w:t>（%）</w:t>
            </w:r>
          </w:p>
        </w:tc>
        <w:tc>
          <w:tcPr>
            <w:tcW w:w="1328"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加权平均年利率1</w:t>
            </w:r>
          </w:p>
          <w:p>
            <w:pPr>
              <w:adjustRightInd w:val="0"/>
              <w:snapToGrid w:val="0"/>
              <w:spacing w:after="160" w:line="276" w:lineRule="auto"/>
              <w:rPr>
                <w:rFonts w:hint="eastAsia" w:ascii="仿宋" w:hAnsi="仿宋" w:eastAsia="仿宋" w:cs="仿宋"/>
              </w:rPr>
            </w:pPr>
            <w:r>
              <w:rPr>
                <w:rFonts w:hint="eastAsia" w:ascii="仿宋" w:hAnsi="仿宋" w:eastAsia="仿宋" w:cs="仿宋"/>
              </w:rPr>
              <w:t>（全部在用卡，%）</w:t>
            </w:r>
          </w:p>
        </w:tc>
        <w:tc>
          <w:tcPr>
            <w:tcW w:w="1771"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加权平均年利率2</w:t>
            </w:r>
          </w:p>
          <w:p>
            <w:pPr>
              <w:adjustRightInd w:val="0"/>
              <w:snapToGrid w:val="0"/>
              <w:spacing w:after="160" w:line="276" w:lineRule="auto"/>
              <w:rPr>
                <w:rFonts w:hint="eastAsia" w:ascii="仿宋" w:hAnsi="仿宋" w:eastAsia="仿宋" w:cs="仿宋"/>
              </w:rPr>
            </w:pPr>
            <w:r>
              <w:rPr>
                <w:rFonts w:hint="eastAsia" w:ascii="仿宋" w:hAnsi="仿宋" w:eastAsia="仿宋" w:cs="仿宋"/>
              </w:rPr>
              <w:t>（实际计收利息的在用卡，%）</w:t>
            </w:r>
          </w:p>
        </w:tc>
        <w:tc>
          <w:tcPr>
            <w:tcW w:w="747" w:type="dxa"/>
            <w:vMerge w:val="continue"/>
            <w:tcBorders>
              <w:top w:val="outset" w:color="auto" w:sz="6" w:space="0"/>
              <w:left w:val="outset" w:color="auto" w:sz="6" w:space="0"/>
              <w:bottom w:val="outset" w:color="auto" w:sz="6" w:space="0"/>
              <w:right w:val="outset" w:color="auto" w:sz="6" w:space="0"/>
            </w:tcBorders>
            <w:vAlign w:val="center"/>
          </w:tcPr>
          <w:p>
            <w:pPr>
              <w:adjustRightInd w:val="0"/>
              <w:snapToGrid w:val="0"/>
              <w:spacing w:after="160" w:line="276" w:lineRule="auto"/>
              <w:rPr>
                <w:rFonts w:hint="eastAsia" w:ascii="仿宋" w:hAnsi="仿宋" w:eastAsia="仿宋" w:cs="仿宋"/>
                <w:szCs w:val="24"/>
              </w:rPr>
            </w:pPr>
          </w:p>
        </w:tc>
        <w:tc>
          <w:tcPr>
            <w:tcW w:w="836" w:type="dxa"/>
            <w:vMerge w:val="continue"/>
            <w:tcBorders>
              <w:top w:val="outset" w:color="auto" w:sz="6" w:space="0"/>
              <w:left w:val="outset" w:color="auto" w:sz="6" w:space="0"/>
              <w:bottom w:val="outset" w:color="auto" w:sz="6" w:space="0"/>
              <w:right w:val="outset" w:color="auto" w:sz="6" w:space="0"/>
            </w:tcBorders>
            <w:vAlign w:val="center"/>
          </w:tcPr>
          <w:p>
            <w:pPr>
              <w:adjustRightInd w:val="0"/>
              <w:snapToGrid w:val="0"/>
              <w:spacing w:after="160" w:line="276" w:lineRule="auto"/>
              <w:rPr>
                <w:rFonts w:hint="eastAsia" w:ascii="仿宋" w:hAnsi="仿宋" w:eastAsia="仿宋" w:cs="仿宋"/>
                <w:szCs w:val="24"/>
              </w:rPr>
            </w:pPr>
          </w:p>
        </w:tc>
        <w:tc>
          <w:tcPr>
            <w:tcW w:w="747" w:type="dxa"/>
            <w:vMerge w:val="continue"/>
            <w:tcBorders>
              <w:top w:val="outset" w:color="auto" w:sz="6" w:space="0"/>
              <w:left w:val="outset" w:color="auto" w:sz="6" w:space="0"/>
              <w:bottom w:val="outset" w:color="auto" w:sz="6" w:space="0"/>
              <w:right w:val="outset" w:color="auto" w:sz="6" w:space="0"/>
            </w:tcBorders>
            <w:vAlign w:val="center"/>
          </w:tcPr>
          <w:p>
            <w:pPr>
              <w:adjustRightInd w:val="0"/>
              <w:snapToGrid w:val="0"/>
              <w:spacing w:after="160" w:line="276" w:lineRule="auto"/>
              <w:rPr>
                <w:rFonts w:hint="eastAsia" w:ascii="仿宋" w:hAnsi="仿宋" w:eastAsia="仿宋" w:cs="仿宋"/>
                <w:szCs w:val="24"/>
              </w:rPr>
            </w:pPr>
          </w:p>
        </w:tc>
        <w:tc>
          <w:tcPr>
            <w:tcW w:w="449" w:type="dxa"/>
            <w:vMerge w:val="continue"/>
            <w:tcBorders>
              <w:top w:val="outset" w:color="auto" w:sz="6" w:space="0"/>
              <w:left w:val="outset" w:color="auto" w:sz="6" w:space="0"/>
              <w:bottom w:val="outset" w:color="auto" w:sz="6" w:space="0"/>
              <w:right w:val="outset" w:color="auto" w:sz="6" w:space="0"/>
            </w:tcBorders>
            <w:vAlign w:val="center"/>
          </w:tcPr>
          <w:p>
            <w:pPr>
              <w:adjustRightInd w:val="0"/>
              <w:snapToGrid w:val="0"/>
              <w:spacing w:after="160" w:line="276" w:lineRule="auto"/>
              <w:rPr>
                <w:rFonts w:hint="eastAsia" w:ascii="仿宋" w:hAnsi="仿宋" w:eastAsia="仿宋" w:cs="仿宋"/>
                <w:szCs w:val="24"/>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626"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透支消费</w:t>
            </w:r>
          </w:p>
        </w:tc>
        <w:tc>
          <w:tcPr>
            <w:tcW w:w="896"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p>
        </w:tc>
        <w:tc>
          <w:tcPr>
            <w:tcW w:w="896"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szCs w:val="24"/>
              </w:rPr>
            </w:pPr>
            <w:r>
              <w:rPr>
                <w:rFonts w:hint="eastAsia" w:ascii="仿宋" w:hAnsi="仿宋" w:eastAsia="仿宋" w:cs="仿宋"/>
              </w:rPr>
              <w:t>　</w:t>
            </w:r>
          </w:p>
        </w:tc>
        <w:tc>
          <w:tcPr>
            <w:tcW w:w="1328"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c>
          <w:tcPr>
            <w:tcW w:w="1771"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p>
        </w:tc>
        <w:tc>
          <w:tcPr>
            <w:tcW w:w="747"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szCs w:val="20"/>
              </w:rPr>
            </w:pPr>
          </w:p>
        </w:tc>
        <w:tc>
          <w:tcPr>
            <w:tcW w:w="836"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szCs w:val="24"/>
              </w:rPr>
            </w:pPr>
            <w:r>
              <w:rPr>
                <w:rFonts w:hint="eastAsia" w:ascii="仿宋" w:hAnsi="仿宋" w:eastAsia="仿宋" w:cs="仿宋"/>
              </w:rPr>
              <w:t>--</w:t>
            </w:r>
          </w:p>
        </w:tc>
        <w:tc>
          <w:tcPr>
            <w:tcW w:w="747"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w:t>
            </w:r>
          </w:p>
        </w:tc>
        <w:tc>
          <w:tcPr>
            <w:tcW w:w="449"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626"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预借现金</w:t>
            </w:r>
          </w:p>
        </w:tc>
        <w:tc>
          <w:tcPr>
            <w:tcW w:w="896"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p>
        </w:tc>
        <w:tc>
          <w:tcPr>
            <w:tcW w:w="896"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szCs w:val="24"/>
              </w:rPr>
            </w:pPr>
            <w:r>
              <w:rPr>
                <w:rFonts w:hint="eastAsia" w:ascii="仿宋" w:hAnsi="仿宋" w:eastAsia="仿宋" w:cs="仿宋"/>
              </w:rPr>
              <w:t>　</w:t>
            </w:r>
          </w:p>
        </w:tc>
        <w:tc>
          <w:tcPr>
            <w:tcW w:w="1328"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c>
          <w:tcPr>
            <w:tcW w:w="1771"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p>
        </w:tc>
        <w:tc>
          <w:tcPr>
            <w:tcW w:w="747"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szCs w:val="20"/>
              </w:rPr>
            </w:pPr>
          </w:p>
        </w:tc>
        <w:tc>
          <w:tcPr>
            <w:tcW w:w="836"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szCs w:val="24"/>
              </w:rPr>
            </w:pPr>
            <w:r>
              <w:rPr>
                <w:rFonts w:hint="eastAsia" w:ascii="仿宋" w:hAnsi="仿宋" w:eastAsia="仿宋" w:cs="仿宋"/>
              </w:rPr>
              <w:t>--</w:t>
            </w:r>
          </w:p>
        </w:tc>
        <w:tc>
          <w:tcPr>
            <w:tcW w:w="747"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w:t>
            </w:r>
          </w:p>
        </w:tc>
        <w:tc>
          <w:tcPr>
            <w:tcW w:w="449"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626"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合计</w:t>
            </w:r>
          </w:p>
        </w:tc>
        <w:tc>
          <w:tcPr>
            <w:tcW w:w="896"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w:t>
            </w:r>
          </w:p>
        </w:tc>
        <w:tc>
          <w:tcPr>
            <w:tcW w:w="896"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w:t>
            </w:r>
          </w:p>
        </w:tc>
        <w:tc>
          <w:tcPr>
            <w:tcW w:w="1328"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w:t>
            </w:r>
          </w:p>
        </w:tc>
        <w:tc>
          <w:tcPr>
            <w:tcW w:w="1771"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c>
          <w:tcPr>
            <w:tcW w:w="747"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c>
          <w:tcPr>
            <w:tcW w:w="836"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c>
          <w:tcPr>
            <w:tcW w:w="747"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c>
          <w:tcPr>
            <w:tcW w:w="449"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r>
    </w:tbl>
    <w:p>
      <w:pPr>
        <w:shd w:val="clear" w:color="auto" w:fill="FFFFFF"/>
        <w:adjustRightInd w:val="0"/>
        <w:snapToGrid w:val="0"/>
        <w:spacing w:line="312" w:lineRule="auto"/>
        <w:ind w:firstLine="420" w:firstLineChars="200"/>
        <w:rPr>
          <w:rFonts w:hint="eastAsia" w:ascii="仿宋" w:hAnsi="仿宋" w:eastAsia="仿宋" w:cs="仿宋"/>
        </w:rPr>
      </w:pP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注：1.信用卡年利率＝信用卡日利率×365。</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2.最高年利率，是指发卡机构发行的全部在用信用卡在未违约情形下适用的循环信用利率中的最大值。其中，“在用信用卡”，是指发卡机构累计发行的、已经激活、未注销且未过有效期的信用卡。</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加权平均年利率1＝全部在用信用卡在未违约情形下适用的循环信用利率之和÷在用发卡量。例如，统计期末某发卡机构信用卡在用发卡量为n＋m，其中，n张信用卡的透支消费循环信用利率均为a，m张信用卡的透支消费循环信用利率均为b，则透支消费加权平均年利率1＝（a×n＋b×m）÷（n＋m）。</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加权平均年利率2＝实际计收利息÷计收利息对应的计息积数×365＝（在统计期内出账单的计息信用卡的当期账单计收利息之和÷当期账单计收利息所对应的计息积数之和）×365。其中，“计息积数”，是指在统计期内出账单且计收利息的信用卡当期账单利息所对应的计息周期每日计息本金之和。</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5.期末应偿信贷余额，是指发卡机构发行的信用卡的透支余额，包含已出账单未偿还和未出账单部分（含分期付款未出账单部分），不含利息、手续费及已转表外资产。</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6.备注栏填写最高年利率和最低年利率的具体情形等事项。</w:t>
      </w:r>
    </w:p>
    <w:p>
      <w:pPr>
        <w:rPr>
          <w:rFonts w:hint="eastAsia" w:ascii="仿宋" w:hAnsi="仿宋" w:eastAsia="仿宋" w:cs="仿宋"/>
        </w:rPr>
      </w:pPr>
      <w:r>
        <w:rPr>
          <w:rFonts w:hint="eastAsia" w:ascii="仿宋" w:hAnsi="仿宋" w:eastAsia="仿宋" w:cs="仿宋"/>
        </w:rPr>
        <w:br w:type="page"/>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附件2</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制表：中国人民银行总行</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表号：银统439表</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信用卡透支利率区间分布表（月报）</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填报单位：</w:t>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填报时间：年　月　日</w:t>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单位：万张</w:t>
      </w:r>
    </w:p>
    <w:tbl>
      <w:tblPr>
        <w:tblStyle w:val="27"/>
        <w:tblW w:w="829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65"/>
        <w:gridCol w:w="1430"/>
        <w:gridCol w:w="1817"/>
        <w:gridCol w:w="1596"/>
        <w:gridCol w:w="379"/>
        <w:gridCol w:w="1209"/>
        <w:gridCol w:w="60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1265" w:type="dxa"/>
            <w:vMerge w:val="restart"/>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shd w:val="clear" w:color="auto" w:fill="FFFFFF"/>
              <w:adjustRightInd w:val="0"/>
              <w:snapToGrid w:val="0"/>
              <w:spacing w:after="160" w:line="276" w:lineRule="auto"/>
              <w:rPr>
                <w:rFonts w:hint="eastAsia" w:ascii="仿宋" w:hAnsi="仿宋" w:eastAsia="仿宋" w:cs="仿宋"/>
              </w:rPr>
            </w:pPr>
          </w:p>
        </w:tc>
        <w:tc>
          <w:tcPr>
            <w:tcW w:w="1430"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szCs w:val="20"/>
              </w:rPr>
            </w:pPr>
          </w:p>
        </w:tc>
        <w:tc>
          <w:tcPr>
            <w:tcW w:w="5601" w:type="dxa"/>
            <w:gridSpan w:val="5"/>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szCs w:val="24"/>
              </w:rPr>
            </w:pPr>
            <w:r>
              <w:rPr>
                <w:rFonts w:hint="eastAsia" w:ascii="仿宋" w:hAnsi="仿宋" w:eastAsia="仿宋" w:cs="仿宋"/>
              </w:rPr>
              <w:t>日利率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1265" w:type="dxa"/>
            <w:vMerge w:val="continue"/>
            <w:tcBorders>
              <w:top w:val="outset" w:color="auto" w:sz="6" w:space="0"/>
              <w:left w:val="outset" w:color="auto" w:sz="6" w:space="0"/>
              <w:bottom w:val="outset" w:color="auto" w:sz="6" w:space="0"/>
              <w:right w:val="outset" w:color="auto" w:sz="6" w:space="0"/>
            </w:tcBorders>
            <w:vAlign w:val="bottom"/>
          </w:tcPr>
          <w:p>
            <w:pPr>
              <w:adjustRightInd w:val="0"/>
              <w:snapToGrid w:val="0"/>
              <w:spacing w:after="160" w:line="276" w:lineRule="auto"/>
              <w:rPr>
                <w:rFonts w:hint="eastAsia" w:ascii="仿宋" w:hAnsi="仿宋" w:eastAsia="仿宋" w:cs="仿宋"/>
                <w:szCs w:val="24"/>
              </w:rPr>
            </w:pPr>
          </w:p>
        </w:tc>
        <w:tc>
          <w:tcPr>
            <w:tcW w:w="1430"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5‱0.7倍以下</w:t>
            </w:r>
          </w:p>
        </w:tc>
        <w:tc>
          <w:tcPr>
            <w:tcW w:w="1817"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5‱[0.7，0.8）倍</w:t>
            </w:r>
          </w:p>
        </w:tc>
        <w:tc>
          <w:tcPr>
            <w:tcW w:w="1596"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5‱[0.8，1）倍</w:t>
            </w:r>
          </w:p>
        </w:tc>
        <w:tc>
          <w:tcPr>
            <w:tcW w:w="379"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5‱</w:t>
            </w:r>
          </w:p>
        </w:tc>
        <w:tc>
          <w:tcPr>
            <w:tcW w:w="1209"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5‱1倍以上</w:t>
            </w:r>
          </w:p>
        </w:tc>
        <w:tc>
          <w:tcPr>
            <w:tcW w:w="600"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合计</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1265"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在用发卡量</w:t>
            </w:r>
          </w:p>
        </w:tc>
        <w:tc>
          <w:tcPr>
            <w:tcW w:w="1430"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p>
        </w:tc>
        <w:tc>
          <w:tcPr>
            <w:tcW w:w="1817"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szCs w:val="20"/>
              </w:rPr>
            </w:pPr>
          </w:p>
        </w:tc>
        <w:tc>
          <w:tcPr>
            <w:tcW w:w="1596"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szCs w:val="20"/>
              </w:rPr>
            </w:pPr>
          </w:p>
        </w:tc>
        <w:tc>
          <w:tcPr>
            <w:tcW w:w="37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szCs w:val="20"/>
              </w:rPr>
            </w:pPr>
          </w:p>
        </w:tc>
        <w:tc>
          <w:tcPr>
            <w:tcW w:w="12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szCs w:val="20"/>
              </w:rPr>
            </w:pPr>
          </w:p>
        </w:tc>
        <w:tc>
          <w:tcPr>
            <w:tcW w:w="600"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szCs w:val="20"/>
              </w:rPr>
            </w:pPr>
          </w:p>
        </w:tc>
      </w:tr>
    </w:tbl>
    <w:p>
      <w:pPr>
        <w:shd w:val="clear" w:color="auto" w:fill="FFFFFF"/>
        <w:adjustRightInd w:val="0"/>
        <w:snapToGrid w:val="0"/>
        <w:spacing w:line="312" w:lineRule="auto"/>
        <w:ind w:firstLine="420" w:firstLineChars="200"/>
        <w:rPr>
          <w:rFonts w:hint="eastAsia" w:ascii="仿宋" w:hAnsi="仿宋" w:eastAsia="仿宋" w:cs="仿宋"/>
        </w:rPr>
      </w:pP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注：日利率，是指统计期末，发卡机构发行的全部在用信用卡的透支消费循环信用利率。</w:t>
      </w:r>
    </w:p>
    <w:p>
      <w:pPr>
        <w:widowControl/>
        <w:jc w:val="left"/>
        <w:rPr>
          <w:rFonts w:hint="eastAsia" w:ascii="仿宋" w:hAnsi="仿宋" w:eastAsia="仿宋" w:cs="仿宋"/>
          <w:b/>
          <w:bCs/>
          <w:kern w:val="44"/>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