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3" w:name="_Toc5048853"/>
      <w:bookmarkStart w:id="894" w:name="_Toc2055"/>
      <w:r>
        <w:rPr>
          <w:rFonts w:hint="eastAsia"/>
        </w:rPr>
        <w:t>355--中国人民银行关于大额交易和可疑交易报告要素及释义的通知</w:t>
      </w:r>
      <w:r>
        <w:rPr>
          <w:rFonts w:hint="eastAsia"/>
        </w:rPr>
        <w:br w:type="textWrapping"/>
      </w:r>
      <w:r>
        <w:rPr>
          <w:rFonts w:hint="eastAsia"/>
        </w:rPr>
        <w:t>（银发〔2017〕98号）</w:t>
      </w:r>
      <w:bookmarkEnd w:id="893"/>
      <w:bookmarkEnd w:id="894"/>
    </w:p>
    <w:p>
      <w:pPr>
        <w:widowControl/>
        <w:jc w:val="left"/>
        <w:rPr>
          <w:rFonts w:hint="eastAsia" w:ascii="仿宋" w:hAnsi="仿宋" w:eastAsia="仿宋" w:cs="仿宋"/>
          <w:szCs w:val="21"/>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严格落实《金融机构大额交易和可疑交易报告管理办法》（中国人民银行令〔2016〕第3号发布，以下简称《管理办法》）关于反洗钱大额交易和可疑交易数据报送相关规定；中国人民银行制定了《大额交易报告要素及释义（2017）》、《银行业可疑交易报告要素及释义（2017）》、《证券期货业可疑交易报告要素及释义（2017）》、《保险业可疑交易报告要素及释义（2017）》、《通用可疑交易报告要素及释义（2017）》（见附件1-5），现印发给你们，并就有关事项通知如下，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一、各金融机构应从2017年7月1日起按照《管理办法》关于大额交易和可疑交易报告的规定，向中国反洗钱监测分析中心报送数据。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二、24家全国性法人金融机构（见附件6）根据《管理办法》相关规定，完成系统开发升级等数据报送准备后，自2017年6月1日起向中国反洗钱监测分析中心提出数据报送申请，通过报送测试检查后才可报送数据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三、其他法人金融机构根据《管理办法》相关规定，完成系统开发升级等数据报送准备后，自2017年6月1日起向所在地人民银行分支机构提出申请，在申请获准后开始报送数据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四、法人金融机构在报送可疑交易报告前，应通过系统上传“可疑交易特征代码”与交易监测标准描述内容的对照表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反洗钱监测分析中心将于2017年5月底前通过中国反洗钱监测分析系统数据接收平台发布《金融机构大额交易和可疑交易报告数据报送业务要求和接口规范（2017）》，报告机构应根据该文件要求和相关工作安排，全面、完整、准确地采集各业务系统的客户身份信息和交易信息，保大额交易和可疑交易监测分析的数据需求，不断提高报送数据质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将本通知转发至总部注册地在辖区内的商业银行、农村合作银行、农村信用社、村镇银行、证券公司、期货公司、基金管理公司、保险公司、保险资产管理公司、保险专业代理公司、保险经纪公司、信托公司、金融资产管理公司、企业集团财务公司、金融租赁公司、汽车金融公司、消费金融公司、货币经纪公司、贷款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附件:1.大额交易报告要素及释义（2017）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2.银行业可疑交易报告要素及释义（2017）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3.证券期货业可疑交易报告要素及释义（2017）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4.保险业可疑交易报告要素及释义（2017）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5.通用可疑交易报告要素及释义（2017）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6.全国性法人金融机构名单</w:t>
      </w:r>
    </w:p>
    <w:p>
      <w:pPr>
        <w:widowControl/>
        <w:jc w:val="left"/>
        <w:rPr>
          <w:rFonts w:hint="eastAsia" w:ascii="仿宋" w:hAnsi="仿宋" w:eastAsia="仿宋" w:cs="仿宋"/>
          <w:szCs w:val="21"/>
        </w:rPr>
      </w:pPr>
      <w:r>
        <w:rPr>
          <w:rFonts w:hint="eastAsia" w:ascii="仿宋" w:hAnsi="仿宋" w:eastAsia="仿宋" w:cs="仿宋"/>
          <w:szCs w:val="21"/>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大额交易报告要素及释义（2017）</w:t>
      </w:r>
    </w:p>
    <w:tbl>
      <w:tblPr>
        <w:tblStyle w:val="27"/>
        <w:tblW w:w="8731" w:type="dxa"/>
        <w:tblInd w:w="-314" w:type="dxa"/>
        <w:tblLayout w:type="fixed"/>
        <w:tblCellMar>
          <w:top w:w="0" w:type="dxa"/>
          <w:left w:w="0" w:type="dxa"/>
          <w:bottom w:w="0" w:type="dxa"/>
          <w:right w:w="0" w:type="dxa"/>
        </w:tblCellMar>
      </w:tblPr>
      <w:tblGrid>
        <w:gridCol w:w="1282"/>
        <w:gridCol w:w="616"/>
        <w:gridCol w:w="1659"/>
        <w:gridCol w:w="5174"/>
      </w:tblGrid>
      <w:tr>
        <w:trPr>
          <w:trHeight w:val="288" w:hRule="atLeast"/>
        </w:trPr>
        <w:tc>
          <w:tcPr>
            <w:tcW w:w="128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szCs w:val="21"/>
              </w:rPr>
            </w:pPr>
            <w:r>
              <w:rPr>
                <w:rFonts w:hint="eastAsia" w:ascii="仿宋" w:hAnsi="仿宋" w:eastAsia="仿宋" w:cs="仿宋"/>
                <w:b/>
                <w:bCs/>
                <w:szCs w:val="21"/>
              </w:rPr>
              <w:t>部分</w:t>
            </w: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编号</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字段内容</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释义</w:t>
            </w:r>
          </w:p>
        </w:tc>
      </w:tr>
      <w:tr>
        <w:trPr>
          <w:cantSplit/>
          <w:trHeight w:val="864" w:hRule="atLeast"/>
        </w:trPr>
        <w:tc>
          <w:tcPr>
            <w:tcW w:w="1282"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第一部分：报告机构信息</w:t>
            </w: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报告机构编码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用以识别报告机构身份的唯一代码，填写中国人民银行发放的《金融机构代码证》上载明的金融机构代码。如果尚未取得金融机构代码，则经申请后由中国反洗钱监测分析中心分配报告机构编码。</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网点代码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发生交易的金融机构网点的唯一代码，填写中国人民银行发放的《金融机构代码证》上载明的金融机构代码。如果尚未取得金融机构代码，则由报告机构自行编制内部唯一代码。</w:t>
            </w:r>
          </w:p>
        </w:tc>
      </w:tr>
      <w:tr>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金融机构与客户的关系</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金融机构网点与被报告大额交易及客户之间的业务关系。</w:t>
            </w:r>
          </w:p>
        </w:tc>
      </w:tr>
      <w:tr>
        <w:trPr>
          <w:cantSplit/>
          <w:trHeight w:val="864" w:hRule="atLeast"/>
        </w:trPr>
        <w:tc>
          <w:tcPr>
            <w:tcW w:w="1282"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第二部分：交易信息</w:t>
            </w: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客户名称或姓名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账户（或卡）持有人的名称或姓名的全称，包括中文或外文。交易不通过账户（或卡）办理时，填写客户办理业务时所持有效身份证件或证明文件记载的名称或姓名的全称。</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7</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一个客户在报告机构内有且只有一个编号，客户号是在报告机构内识别客户唯一性的业务主键，即便存在不同证件类型和证件号码的情况。</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8</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交易使用的银行账户类型。</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9</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交易使用的银行账户号码。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10</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银行卡类型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与账号关联的银行卡号码类型，如果“银行卡号码”字段必须填写时，则本字段也必须填写。</w:t>
            </w:r>
          </w:p>
        </w:tc>
      </w:tr>
      <w:tr>
        <w:trPr>
          <w:cantSplit/>
          <w:trHeight w:val="1152"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11</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银行卡号码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账号关联的银行卡号码。如果要求账号或银行卡号字段必须填写（不得填写替代符号）时，“账号”和“银行卡号码”至少填写一个，如果客户在交易过程中使用了银行卡，则应将卡号填写到“银行卡号码”字段。</w:t>
            </w:r>
          </w:p>
        </w:tc>
      </w:tr>
      <w:tr>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12</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客户职业（对私）或行业（对公）</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按照国家反洗钱法律、法规和中国人民银行规章的有关规定，对客户进行身份识别时记载的职业或主营业务类别。</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13</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客户联系方式</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包括联系电话、常住（邮寄）地址和其他联系方式，不同联系方式之间用“，”分割。</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14</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客户国籍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客户有效身份证件或证明文件中所载国籍或注册地所属国。</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15</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客户开户时间</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交易使用的银行账户（或卡）的开户时间。</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16</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大额交易特征代码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交易所符合的具体大额交易类型。</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17</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代办人姓名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代理客户办理交易时所持有效身份证件或证明文件记载的姓名或名称的全称，包括中文或外文。</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18</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按照国家反洗钱法律、法规和中国人民银行规章的有关规定，对代办人进行身份识别时记载的有效身份证件或证明文件的种类。</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19</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与代办人有效身份证件或证明文件类型对应的证件号码。</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20</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代办人国籍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代办人有效身份证件或证明文件中所载国籍或注册地所属国。</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21</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交易时间</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交易实际发生的时间。</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22</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交易发生地</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当交易方式是现钞类交易时，按真实交易发生地填写。当交易方式是转账类交易时，如果是柜台交易，按柜台交易发生地填写；如果是非柜台交易，填写指令发出的地址。</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23</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业务标识号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用以识别一笔交易的唯一业务标识码。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24</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收付款方匹配号类型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收款方所在机构和付款方所在机构针对同一笔交易报送的唯一标识代码类型。</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25</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收付款方匹配号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收款方所在机构和付款方所在机构针对同一笔交易报送的唯一标识代码。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26</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交易方式</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按照中国人民银行和国家外汇管理局本外币支付结算管理的有关规定，交易符合的资金结算方式。</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27</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涉外收支交易分类与代码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国家外汇管理局规定的用于涉外收支交易申报的相关代码。</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28</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资金收付标志</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交易的资金收付方向（从客户角度），分成收、付两类。</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29</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资金用途</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客户办理大额交易时填写的资金用途。</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30</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币种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交易使用的币种。</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31</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交易金额</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与币种一致的交易金额。</w:t>
            </w:r>
          </w:p>
        </w:tc>
      </w:tr>
      <w:tr>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32</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交易涉及的对方金融机构网点名称。</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33</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对方金融机构网点代码类型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交易涉及的对方金融机构网点代码的种类。</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34</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交易涉及的对方金融机构代码。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35</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对方金融机构网点行政区划代码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交易涉及的对方金融机构网点所在地区的国别代码和行政区划代码。</w:t>
            </w:r>
          </w:p>
        </w:tc>
      </w:tr>
      <w:tr>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36</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交易对手姓名或名称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交易对手名称或姓名的全称，包括中文或外文。</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37</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交易对手有效身份证件或证明文件种类。</w:t>
            </w:r>
          </w:p>
        </w:tc>
      </w:tr>
      <w:tr>
        <w:tblPrEx>
          <w:tblCellMar>
            <w:top w:w="0" w:type="dxa"/>
            <w:left w:w="0" w:type="dxa"/>
            <w:bottom w:w="0" w:type="dxa"/>
            <w:right w:w="0" w:type="dxa"/>
          </w:tblCellMar>
        </w:tblPrEx>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38</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交易对手的有效身份证件或证明文件号码。</w:t>
            </w:r>
          </w:p>
        </w:tc>
      </w:tr>
      <w:tr>
        <w:tblPrEx>
          <w:tblCellMar>
            <w:top w:w="0" w:type="dxa"/>
            <w:left w:w="0" w:type="dxa"/>
            <w:bottom w:w="0" w:type="dxa"/>
            <w:right w:w="0" w:type="dxa"/>
          </w:tblCellMar>
        </w:tblPrEx>
        <w:trPr>
          <w:cantSplit/>
          <w:trHeight w:val="576"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39</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交易对手账户类型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交易对手使用的银行账户类型。</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40</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交易对手账号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交易对手使用的银行账户（或卡）号码。</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41</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客户通过非柜台方式进行交易的类型。</w:t>
            </w:r>
          </w:p>
        </w:tc>
      </w:tr>
      <w:tr>
        <w:tblPrEx>
          <w:tblCellMar>
            <w:top w:w="0" w:type="dxa"/>
            <w:left w:w="0" w:type="dxa"/>
            <w:bottom w:w="0" w:type="dxa"/>
            <w:right w:w="0" w:type="dxa"/>
          </w:tblCellMar>
        </w:tblPrEx>
        <w:trPr>
          <w:cantSplit/>
          <w:trHeight w:val="519"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42</w:t>
            </w:r>
          </w:p>
        </w:tc>
        <w:tc>
          <w:tcPr>
            <w:tcW w:w="1659"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非柜台交易方式的设备代码</w:t>
            </w:r>
          </w:p>
        </w:tc>
        <w:tc>
          <w:tcPr>
            <w:tcW w:w="5174"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客户通过非柜台方式进行交易所使用设备的标识号。</w:t>
            </w:r>
          </w:p>
        </w:tc>
      </w:tr>
      <w:tr>
        <w:trPr>
          <w:cantSplit/>
          <w:trHeight w:val="519"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rPr>
                <w:rFonts w:hint="eastAsia" w:ascii="仿宋" w:hAnsi="仿宋" w:eastAsia="仿宋" w:cs="仿宋"/>
                <w:szCs w:val="21"/>
              </w:rPr>
            </w:pPr>
          </w:p>
        </w:tc>
        <w:tc>
          <w:tcPr>
            <w:tcW w:w="616" w:type="dxa"/>
            <w:vMerge w:val="continue"/>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rPr>
                <w:rFonts w:hint="eastAsia" w:ascii="仿宋" w:hAnsi="仿宋" w:eastAsia="仿宋" w:cs="仿宋"/>
                <w:szCs w:val="21"/>
              </w:rPr>
            </w:pPr>
          </w:p>
        </w:tc>
        <w:tc>
          <w:tcPr>
            <w:tcW w:w="1659" w:type="dxa"/>
            <w:vMerge w:val="continue"/>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rPr>
                <w:rFonts w:hint="eastAsia" w:ascii="仿宋" w:hAnsi="仿宋" w:eastAsia="仿宋" w:cs="仿宋"/>
                <w:szCs w:val="21"/>
              </w:rPr>
            </w:pPr>
          </w:p>
        </w:tc>
        <w:tc>
          <w:tcPr>
            <w:tcW w:w="5174" w:type="dxa"/>
            <w:vMerge w:val="continue"/>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rPr>
                <w:rFonts w:hint="eastAsia" w:ascii="仿宋" w:hAnsi="仿宋" w:eastAsia="仿宋" w:cs="仿宋"/>
                <w:szCs w:val="21"/>
              </w:rPr>
            </w:pPr>
          </w:p>
        </w:tc>
      </w:tr>
      <w:tr>
        <w:trPr>
          <w:cantSplit/>
          <w:trHeight w:val="864"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43</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银行与非银行支付机构之间的业务交易编码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银行与非银行支付机构之间具有唯一标识性的交易编码。</w:t>
            </w:r>
          </w:p>
        </w:tc>
      </w:tr>
      <w:tr>
        <w:tblPrEx>
          <w:tblCellMar>
            <w:top w:w="0" w:type="dxa"/>
            <w:left w:w="0" w:type="dxa"/>
            <w:bottom w:w="0" w:type="dxa"/>
            <w:right w:w="0" w:type="dxa"/>
          </w:tblCellMar>
        </w:tblPrEx>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44</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交易信息备注1</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r>
        <w:trPr>
          <w:cantSplit/>
          <w:trHeight w:val="228" w:hRule="atLeast"/>
        </w:trPr>
        <w:tc>
          <w:tcPr>
            <w:tcW w:w="1282"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1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45</w:t>
            </w:r>
          </w:p>
        </w:tc>
        <w:tc>
          <w:tcPr>
            <w:tcW w:w="16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交易信息备注2</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bl>
    <w:p>
      <w:pPr>
        <w:widowControl/>
        <w:jc w:val="left"/>
        <w:rPr>
          <w:rFonts w:hint="eastAsia" w:ascii="仿宋" w:hAnsi="仿宋" w:eastAsia="仿宋" w:cs="仿宋"/>
          <w:szCs w:val="21"/>
        </w:rPr>
      </w:pPr>
    </w:p>
    <w:p>
      <w:pPr>
        <w:widowControl/>
        <w:jc w:val="left"/>
        <w:rPr>
          <w:rFonts w:hint="eastAsia" w:ascii="仿宋" w:hAnsi="仿宋" w:eastAsia="仿宋" w:cs="仿宋"/>
          <w:szCs w:val="21"/>
        </w:rPr>
      </w:pPr>
      <w:r>
        <w:rPr>
          <w:rFonts w:hint="eastAsia" w:ascii="仿宋" w:hAnsi="仿宋" w:eastAsia="仿宋" w:cs="仿宋"/>
          <w:szCs w:val="21"/>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银行业可疑交易报告要素及释义（2017）</w:t>
      </w:r>
    </w:p>
    <w:tbl>
      <w:tblPr>
        <w:tblStyle w:val="27"/>
        <w:tblW w:w="8828" w:type="dxa"/>
        <w:jc w:val="center"/>
        <w:tblLayout w:type="fixed"/>
        <w:tblCellMar>
          <w:top w:w="0" w:type="dxa"/>
          <w:left w:w="0" w:type="dxa"/>
          <w:bottom w:w="0" w:type="dxa"/>
          <w:right w:w="0" w:type="dxa"/>
        </w:tblCellMar>
      </w:tblPr>
      <w:tblGrid>
        <w:gridCol w:w="1388"/>
        <w:gridCol w:w="552"/>
        <w:gridCol w:w="1714"/>
        <w:gridCol w:w="5174"/>
      </w:tblGrid>
      <w:tr>
        <w:tblPrEx>
          <w:tblCellMar>
            <w:top w:w="0" w:type="dxa"/>
            <w:left w:w="0" w:type="dxa"/>
            <w:bottom w:w="0" w:type="dxa"/>
            <w:right w:w="0" w:type="dxa"/>
          </w:tblCellMar>
        </w:tblPrEx>
        <w:trPr>
          <w:trHeight w:val="228" w:hRule="atLeast"/>
          <w:jc w:val="center"/>
        </w:trPr>
        <w:tc>
          <w:tcPr>
            <w:tcW w:w="1388"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szCs w:val="21"/>
              </w:rPr>
            </w:pPr>
            <w:r>
              <w:rPr>
                <w:rFonts w:hint="eastAsia" w:ascii="仿宋" w:hAnsi="仿宋" w:eastAsia="仿宋" w:cs="仿宋"/>
                <w:b/>
                <w:bCs/>
                <w:szCs w:val="21"/>
              </w:rPr>
              <w:t>部分</w:t>
            </w: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编号</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字段内容</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释义</w:t>
            </w:r>
          </w:p>
        </w:tc>
      </w:tr>
      <w:tr>
        <w:tblPrEx>
          <w:tblCellMar>
            <w:top w:w="0" w:type="dxa"/>
            <w:left w:w="0" w:type="dxa"/>
            <w:bottom w:w="0" w:type="dxa"/>
            <w:right w:w="0" w:type="dxa"/>
          </w:tblCellMar>
        </w:tblPrEx>
        <w:trPr>
          <w:cantSplit/>
          <w:trHeight w:val="864" w:hRule="atLeast"/>
          <w:jc w:val="center"/>
        </w:trPr>
        <w:tc>
          <w:tcPr>
            <w:tcW w:w="1388"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第一部分：报告机构信息</w:t>
            </w: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报告机构编码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用以识别报告机构身份的唯一代码，填写中国人民银行发放的《金融机构代码证》上载明的金融机构代码。如果尚未取得金融机构代码，则经申请后由中国反洗钱监测分析中心分配报告机构编码。</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网点代码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发现可疑交易的金融机构网点的唯一代码，填写中国人民银行发放的《金融机构代码证》上载明的金融机构代码。如果尚未取得金融机构代码，则由报告机构自行编制内部唯一代码。</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金融机构与客户的关系</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金融机构网点与被报告可疑交易及客户之间的业务关系。</w:t>
            </w:r>
          </w:p>
        </w:tc>
      </w:tr>
      <w:tr>
        <w:tblPrEx>
          <w:tblCellMar>
            <w:top w:w="0" w:type="dxa"/>
            <w:left w:w="0" w:type="dxa"/>
            <w:bottom w:w="0" w:type="dxa"/>
            <w:right w:w="0" w:type="dxa"/>
          </w:tblCellMar>
        </w:tblPrEx>
        <w:trPr>
          <w:cantSplit/>
          <w:trHeight w:val="864" w:hRule="atLeast"/>
          <w:jc w:val="center"/>
        </w:trPr>
        <w:tc>
          <w:tcPr>
            <w:tcW w:w="1388" w:type="dxa"/>
            <w:vMerge w:val="restart"/>
            <w:tcBorders>
              <w:top w:val="single" w:color="000000" w:sz="2" w:space="0"/>
              <w:left w:val="single" w:color="000000" w:sz="2"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第二部分：可疑主体信息</w:t>
            </w: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可疑主体姓名或名称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被报告为可疑主体的客户的名称或姓名全称，包括中文或外文。</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一个客户在报告机构内有且只有一个编号，客户号是在报告机构内识别客户唯一性的业务主键，即便存在不同证件类型和证件号码的情况。</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8</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可疑主体职业（对私）或行业（对公）</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金融机构按照国家反洗钱法律、法规和中国人民银行规章的有关规定，对客户进行身份识别时记载的职业或主营业务类别。</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9</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可疑主体联系方式</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包括联系电话、常住（邮寄）地址和其他联系方式，不同联系方式之间用“，”分割。</w:t>
            </w:r>
          </w:p>
        </w:tc>
      </w:tr>
      <w:tr>
        <w:trPr>
          <w:cantSplit/>
          <w:trHeight w:val="576"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10</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可疑主体法定代表人姓名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客户为法人时其有效证明文件载明的法定代表人姓名的全称。</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按照国家反洗钱法律、法规和中国人民银行规章的有关规定，对法定代表人进行身份识别时记载的有效身份证件种类。</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与可疑主体法定代表人有效身份证件类型对应的证件号码。</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000000" w:sz="2"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13</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可疑主体控股股东或实际控制人的含义参见《中华人民共和国公司法》等法律法规内容。</w:t>
            </w:r>
          </w:p>
        </w:tc>
      </w:tr>
      <w:tr>
        <w:tblPrEx>
          <w:tblCellMar>
            <w:top w:w="0" w:type="dxa"/>
            <w:left w:w="0" w:type="dxa"/>
            <w:bottom w:w="0" w:type="dxa"/>
            <w:right w:w="0" w:type="dxa"/>
          </w:tblCellMar>
        </w:tblPrEx>
        <w:trPr>
          <w:cantSplit/>
          <w:trHeight w:val="1152"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14</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按照国家反洗钱法律、法规和中国人民银行规章的有关规定，对对公客户的控股股东进行身份识别时记载的有效身份证件或证明文件的种类。</w:t>
            </w:r>
          </w:p>
        </w:tc>
      </w:tr>
      <w:tr>
        <w:tblPrEx>
          <w:tblCellMar>
            <w:top w:w="0" w:type="dxa"/>
            <w:left w:w="0" w:type="dxa"/>
            <w:bottom w:w="0" w:type="dxa"/>
            <w:right w:w="0" w:type="dxa"/>
          </w:tblCellMar>
        </w:tblPrEx>
        <w:trPr>
          <w:cantSplit/>
          <w:trHeight w:val="1152"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与可疑主体控股股东或实际控制人有效身份证件或证明文件类型相对应的证件号码。</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可疑主体国籍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客户的有效身份证件或证明文件中所载国籍或注册地所属国。</w:t>
            </w:r>
          </w:p>
        </w:tc>
      </w:tr>
      <w:tr>
        <w:tblPrEx>
          <w:tblCellMar>
            <w:top w:w="0" w:type="dxa"/>
            <w:left w:w="0" w:type="dxa"/>
            <w:bottom w:w="0" w:type="dxa"/>
            <w:right w:w="0" w:type="dxa"/>
          </w:tblCellMar>
        </w:tblPrEx>
        <w:trPr>
          <w:cantSplit/>
          <w:trHeight w:val="864" w:hRule="atLeast"/>
          <w:jc w:val="center"/>
        </w:trPr>
        <w:tc>
          <w:tcPr>
            <w:tcW w:w="1388" w:type="dxa"/>
            <w:vMerge w:val="restart"/>
            <w:tcBorders>
              <w:top w:val="single" w:color="auto" w:sz="4" w:space="0"/>
              <w:left w:val="single" w:color="000000" w:sz="2" w:space="0"/>
              <w:bottom w:val="single" w:color="auto"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第三部分：报告基本信息</w:t>
            </w: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报告紧急程度</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经报告机构反洗钱工作主管部门负责人审批同意，需中国反洗钱监测分析中心收到报告后立即处理的，为特别紧急可疑交易报告。</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18</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报送次数标志</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对之前已报送的可疑交易报告中部分或全部可疑主体，补充关于相同涉罪类型的可疑交易或行为信息称为追加报告，否则称为初次报告。该字段描述用于区分追加报告还是初次报告。</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19</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报送方向</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报告机构发现可疑主体及其交易行为后按照相关法规要求采取的针对措施。</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20</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可疑交易报告触发点</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触发报送可疑交易报告的原因。</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资金交易及客户行为情况</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包括但不限于账户开立情况，交易发生时间、地点、金额、支付方式，资金流向及客户其他异常行为等可疑主体异常情况的信息。</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疑点分析</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详细总结分析账户开立、资金交易、行为背景、客户收入和交易一致性、公开信息等各方面的疑点，以支持对涉罪类型的判断。</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23</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疑似涉罪类型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可疑主体可能涉嫌的犯罪类型。</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24</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可疑交易特征代码</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可疑交易报告所符合的报告机构自主定义的可疑交易监测标准代码，报告机构应事先报备中国反洗钱监测分析中心。</w:t>
            </w:r>
          </w:p>
        </w:tc>
      </w:tr>
      <w:tr>
        <w:tblPrEx>
          <w:tblCellMar>
            <w:top w:w="0" w:type="dxa"/>
            <w:left w:w="0" w:type="dxa"/>
            <w:bottom w:w="0" w:type="dxa"/>
            <w:right w:w="0" w:type="dxa"/>
          </w:tblCellMar>
        </w:tblPrEx>
        <w:trPr>
          <w:cantSplit/>
          <w:trHeight w:val="864" w:hRule="atLeast"/>
          <w:jc w:val="center"/>
        </w:trPr>
        <w:tc>
          <w:tcPr>
            <w:tcW w:w="1388" w:type="dxa"/>
            <w:vMerge w:val="restart"/>
            <w:tcBorders>
              <w:top w:val="single" w:color="auto" w:sz="4" w:space="0"/>
              <w:left w:val="single" w:color="000000" w:sz="2" w:space="0"/>
              <w:bottom w:val="single" w:color="auto"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第四部分：交易信息</w:t>
            </w: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客户姓名或名称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账户（或卡）持有人的名称或姓名的全称，包括中文或外文。交易不通过账户（或卡）办理时，填写客户办理业务时所持有效身份证件或证明文件记载的名称或姓名的全称。</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28</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交易使用的银行账户类型。</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29</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客户开户时间</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交易使用的银行账户（或卡）的开户时间。</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30</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客户销户时间</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交易使用的银行账户（或卡）的销户时间。</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与可疑主体账户类型对应的银行账户号码。</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银行卡类型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与账号关联的银行卡号码类型，如果“银行卡卡号”字段被要求必须填写，则本字段也必须填写。</w:t>
            </w:r>
          </w:p>
        </w:tc>
      </w:tr>
      <w:tr>
        <w:tblPrEx>
          <w:tblCellMar>
            <w:top w:w="0" w:type="dxa"/>
            <w:left w:w="0" w:type="dxa"/>
            <w:bottom w:w="0" w:type="dxa"/>
            <w:right w:w="0" w:type="dxa"/>
          </w:tblCellMar>
        </w:tblPrEx>
        <w:trPr>
          <w:cantSplit/>
          <w:trHeight w:val="1152"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33</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银行卡号码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账号关联的银行卡号码。如果要求账号或银行卡号字段必须填写（不得填写替代符号）时，“账号”和“银行卡号码”至少填写一个,如果客户在交易过程中使用了银行卡，则应将卡号填写到“银行卡号码”字段。</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34</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代办人姓名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代理客户办理可疑交易时所持有效身份证件或证明文件记载的姓名或名称的全称，包括中文或外文。</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按照国家反洗钱法律、法规和中国人民银行规章的有关规定，对代办人进行身份识别时记载的有效身份证件或证明文件的种类。</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与代办人有效身份证件或证明文件类型对应的证件号码。</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代办人国籍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代办人有效身份证件或证明文件中记载的国籍或注册地所属国。</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38</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交易时间</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交易实际发生的时间。</w:t>
            </w:r>
          </w:p>
        </w:tc>
      </w:tr>
      <w:tr>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39</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交易发生地</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当交易方式是现钞类交易时，按真实交易发生地填写。当交易方式是转账类交易时，如果是柜台交易，按柜台交易发生地填写；如果是非柜台交易，填写指令发出的地址。</w:t>
            </w:r>
          </w:p>
        </w:tc>
      </w:tr>
      <w:tr>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40</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业务标识号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用以识别一笔交易的唯一业务标识码。</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收付款方匹配号类型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收款方所在机构和付款方所在机构针对同一笔交易报送的唯一标识代码类型。</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收付款方匹配号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收款方所在机构和付款方所在机构针对同一笔交易报送的唯一标识代码。</w:t>
            </w:r>
          </w:p>
        </w:tc>
      </w:tr>
      <w:tr>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43</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交易方式</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按照中国人民银行和国家外汇管理局本外币支付结算管理的有关规定，交易符合的资金结算方式。</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44</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涉外收支交易分类与代码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国家外汇管理局规定的用于涉外收支交易申报的相关代码。</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资金收付标志</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 xml:space="preserve">交易的资金收付方向（从客户角度），分成收、付两类。  </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资金来源和用途</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金融机构在办理交易时可能获得的资金来源以及记载的资金用途信息。</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币种</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交易使用的币种。</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48</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交易金额</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与币种一致的交易金额。</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49</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交易涉及的对方金融机构网点名称。</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50</w:t>
            </w:r>
          </w:p>
        </w:tc>
        <w:tc>
          <w:tcPr>
            <w:tcW w:w="1714"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对方金融机构网点代码类型</w:t>
            </w:r>
          </w:p>
        </w:tc>
        <w:tc>
          <w:tcPr>
            <w:tcW w:w="5174"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交易涉及的对方金融机构网点代码的种类。</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auto"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51</w:t>
            </w:r>
          </w:p>
        </w:tc>
        <w:tc>
          <w:tcPr>
            <w:tcW w:w="1714" w:type="dxa"/>
            <w:tcBorders>
              <w:top w:val="single" w:color="auto" w:sz="4" w:space="0"/>
              <w:left w:val="single" w:color="auto" w:sz="4"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对方金融机构网点代码</w:t>
            </w:r>
          </w:p>
        </w:tc>
        <w:tc>
          <w:tcPr>
            <w:tcW w:w="5174" w:type="dxa"/>
            <w:tcBorders>
              <w:top w:val="single" w:color="auto" w:sz="4" w:space="0"/>
              <w:left w:val="single" w:color="000000" w:sz="2" w:space="0"/>
              <w:bottom w:val="single" w:color="auto" w:sz="4" w:space="0"/>
              <w:right w:val="single" w:color="auto"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交易涉及的对方金融机构代码。</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52</w:t>
            </w:r>
          </w:p>
        </w:tc>
        <w:tc>
          <w:tcPr>
            <w:tcW w:w="1714"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对方金融机构网点行政区划代码</w:t>
            </w:r>
          </w:p>
        </w:tc>
        <w:tc>
          <w:tcPr>
            <w:tcW w:w="5174"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交易涉及的对方金融机构网点所在地区的国别代码和行政区划代码。</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53</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交易对手姓名或名称</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交易对手名称或姓名的全称，包括中文或外文。</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54</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交易对手身份证件或证明文件类型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交易对手有效身份证件或证明文件种类。</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55</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交易对手身份证件或证明文件号码</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交易对手的有效身份证件或证明文件号码。</w:t>
            </w:r>
          </w:p>
        </w:tc>
      </w:tr>
      <w:tr>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56</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交易对手账户类型</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交易对手使用的银行账户类型。</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57</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交易对手账号</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交易对手使用的银行账户（或卡）号码。</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58</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客户通过非柜台方式进行交易的类型。</w:t>
            </w:r>
          </w:p>
        </w:tc>
      </w:tr>
      <w:tr>
        <w:tblPrEx>
          <w:tblCellMar>
            <w:top w:w="0" w:type="dxa"/>
            <w:left w:w="0" w:type="dxa"/>
            <w:bottom w:w="0" w:type="dxa"/>
            <w:right w:w="0" w:type="dxa"/>
          </w:tblCellMar>
        </w:tblPrEx>
        <w:trPr>
          <w:cantSplit/>
          <w:trHeight w:val="576"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59</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非柜台交易方式的设备代码</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客户通过非柜台方式进行交易所使用设备的标识号。</w:t>
            </w:r>
          </w:p>
        </w:tc>
      </w:tr>
      <w:tr>
        <w:tblPrEx>
          <w:tblCellMar>
            <w:top w:w="0" w:type="dxa"/>
            <w:left w:w="0" w:type="dxa"/>
            <w:bottom w:w="0" w:type="dxa"/>
            <w:right w:w="0" w:type="dxa"/>
          </w:tblCellMar>
        </w:tblPrEx>
        <w:trPr>
          <w:cantSplit/>
          <w:trHeight w:val="864"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60</w:t>
            </w:r>
          </w:p>
        </w:tc>
        <w:tc>
          <w:tcPr>
            <w:tcW w:w="171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银行与非银行支付机构之间的业务交易编码</w:t>
            </w:r>
          </w:p>
        </w:tc>
        <w:tc>
          <w:tcPr>
            <w:tcW w:w="5174" w:type="dxa"/>
            <w:tcBorders>
              <w:top w:val="single" w:color="000000" w:sz="2" w:space="0"/>
              <w:left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银行与非银行支付机构之间具有唯一标识性的交易编码。</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61</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交易信息备注1</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r>
        <w:tblPrEx>
          <w:tblCellMar>
            <w:top w:w="0" w:type="dxa"/>
            <w:left w:w="0" w:type="dxa"/>
            <w:bottom w:w="0" w:type="dxa"/>
            <w:right w:w="0" w:type="dxa"/>
          </w:tblCellMar>
        </w:tblPrEx>
        <w:trPr>
          <w:cantSplit/>
          <w:trHeight w:val="228" w:hRule="atLeast"/>
          <w:jc w:val="center"/>
        </w:trPr>
        <w:tc>
          <w:tcPr>
            <w:tcW w:w="1388" w:type="dxa"/>
            <w:vMerge w:val="continue"/>
            <w:tcBorders>
              <w:top w:val="single" w:color="auto" w:sz="4" w:space="0"/>
              <w:left w:val="single" w:color="000000" w:sz="2"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55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62</w:t>
            </w:r>
          </w:p>
        </w:tc>
        <w:tc>
          <w:tcPr>
            <w:tcW w:w="171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交易信息备注2</w:t>
            </w:r>
          </w:p>
        </w:tc>
        <w:tc>
          <w:tcPr>
            <w:tcW w:w="517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bl>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证券期货业可疑交易报告要素及释义（2017）</w:t>
      </w:r>
    </w:p>
    <w:tbl>
      <w:tblPr>
        <w:tblStyle w:val="27"/>
        <w:tblW w:w="8806" w:type="dxa"/>
        <w:jc w:val="center"/>
        <w:tblLayout w:type="fixed"/>
        <w:tblCellMar>
          <w:top w:w="0" w:type="dxa"/>
          <w:left w:w="0" w:type="dxa"/>
          <w:bottom w:w="0" w:type="dxa"/>
          <w:right w:w="0" w:type="dxa"/>
        </w:tblCellMar>
      </w:tblPr>
      <w:tblGrid>
        <w:gridCol w:w="1185"/>
        <w:gridCol w:w="652"/>
        <w:gridCol w:w="1529"/>
        <w:gridCol w:w="5440"/>
      </w:tblGrid>
      <w:tr>
        <w:tblPrEx>
          <w:tblCellMar>
            <w:top w:w="0" w:type="dxa"/>
            <w:left w:w="0" w:type="dxa"/>
            <w:bottom w:w="0" w:type="dxa"/>
            <w:right w:w="0" w:type="dxa"/>
          </w:tblCellMar>
        </w:tblPrEx>
        <w:trPr>
          <w:trHeight w:val="228" w:hRule="atLeast"/>
          <w:jc w:val="center"/>
        </w:trPr>
        <w:tc>
          <w:tcPr>
            <w:tcW w:w="118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部分</w:t>
            </w:r>
          </w:p>
        </w:tc>
        <w:tc>
          <w:tcPr>
            <w:tcW w:w="638"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编号</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字段内容</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要素释义</w:t>
            </w:r>
          </w:p>
        </w:tc>
      </w:tr>
      <w:tr>
        <w:tblPrEx>
          <w:tblCellMar>
            <w:top w:w="0" w:type="dxa"/>
            <w:left w:w="0" w:type="dxa"/>
            <w:bottom w:w="0" w:type="dxa"/>
            <w:right w:w="0" w:type="dxa"/>
          </w:tblCellMar>
        </w:tblPrEx>
        <w:trPr>
          <w:cantSplit/>
          <w:trHeight w:val="864" w:hRule="atLeast"/>
          <w:jc w:val="center"/>
        </w:trPr>
        <w:tc>
          <w:tcPr>
            <w:tcW w:w="1187" w:type="dxa"/>
            <w:vMerge w:val="restart"/>
            <w:tcBorders>
              <w:top w:val="single" w:color="000000" w:sz="2" w:space="0"/>
              <w:left w:val="single" w:color="000000" w:sz="6"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第一部分：报告机构信息</w:t>
            </w: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报告机构编码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用以识别报告机构身份的唯一代码，填写中国人民银行发放的《金融机构代码证》上载明的金融机构代码。如果尚未取得金融机构代码，则经申请后由中国反洗钱监测分析中心分配报告机构编码。</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网点代码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发现可疑交易的金融机构网点的唯一代码，填写人民银行发放的《金融机构代码证》上载明的金融机构代码。如果尚未取得金融机构代码，则由报告机构自行编制内部唯一代码。</w:t>
            </w:r>
          </w:p>
        </w:tc>
      </w:tr>
      <w:tr>
        <w:tblPrEx>
          <w:tblCellMar>
            <w:top w:w="0" w:type="dxa"/>
            <w:left w:w="0" w:type="dxa"/>
            <w:bottom w:w="0" w:type="dxa"/>
            <w:right w:w="0" w:type="dxa"/>
          </w:tblCellMar>
        </w:tblPrEx>
        <w:trPr>
          <w:cantSplit/>
          <w:trHeight w:val="864" w:hRule="atLeast"/>
          <w:jc w:val="center"/>
        </w:trPr>
        <w:tc>
          <w:tcPr>
            <w:tcW w:w="1187" w:type="dxa"/>
            <w:vMerge w:val="restart"/>
            <w:tcBorders>
              <w:top w:val="single" w:color="000000" w:sz="2" w:space="0"/>
              <w:left w:val="single" w:color="000000" w:sz="6" w:space="0"/>
              <w:bottom w:val="single" w:color="000000" w:sz="2"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第二部分：可疑主体信息</w:t>
            </w: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可疑主体姓名或名称</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被报告为可疑主体的客户的名称或姓名全称，包括中文或外文。</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可疑主体身份证件或证明文件类型</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可疑主体身份证件或证明文件号码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可疑主体证券、基金或期货账号</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证券或基金账号指客户使用的股东代码或相关资产账户号码。期货账户号码是指客户在期货交易所的交易编码。</w:t>
            </w:r>
          </w:p>
        </w:tc>
      </w:tr>
      <w:tr>
        <w:tblPrEx>
          <w:tblCellMar>
            <w:top w:w="0" w:type="dxa"/>
            <w:left w:w="0" w:type="dxa"/>
            <w:bottom w:w="0" w:type="dxa"/>
            <w:right w:w="0" w:type="dxa"/>
          </w:tblCellMar>
        </w:tblPrEx>
        <w:trPr>
          <w:cantSplit/>
          <w:trHeight w:val="288"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7</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资金账户号码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客户在证券期货业金融机构开立的资金账户号码。</w:t>
            </w:r>
          </w:p>
        </w:tc>
      </w:tr>
      <w:tr>
        <w:tblPrEx>
          <w:tblCellMar>
            <w:top w:w="0" w:type="dxa"/>
            <w:left w:w="0" w:type="dxa"/>
            <w:bottom w:w="0" w:type="dxa"/>
            <w:right w:w="0" w:type="dxa"/>
          </w:tblCellMar>
        </w:tblPrEx>
        <w:trPr>
          <w:cantSplit/>
          <w:trHeight w:val="288"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8</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结算账户号码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客户在银行开立的用于资金收付的结算账户号码。</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9</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结算账户开户行名称</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客户结算账户的开户银行名称，应精确到网点名称。</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10</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账户总资产</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客户发生可疑交易的业务产品下的实时净资产总额，如为负债，用负数表示。</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11</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可疑主体职业（对私）或行业（对公）</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按照国家反洗钱法律、法规和中国人民银行规章的有关规定，对客户进行身份识别时记载的职业或主营业务类别。</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12</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可疑主体联系方式</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包括联系电话、常住（邮寄）地址和其他联系方式，不同联系方式之间用“，”分割。</w:t>
            </w:r>
          </w:p>
        </w:tc>
      </w:tr>
      <w:tr>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13</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可疑主体法定代表人姓名</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客户为法人时其有效证明文件载明的法定代表人姓名的全称。</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14</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可疑主体法定代表人身份证件类型</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按照国家反洗钱法律、法规和中国人民银行规章的有关规定，对法定代表人进行身份识别时记载的有效身份证件种类。</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38"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15</w:t>
            </w:r>
          </w:p>
        </w:tc>
        <w:tc>
          <w:tcPr>
            <w:tcW w:w="1532"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与可疑主体法定代表人有效身份证件类型对应的证件号码。</w:t>
            </w:r>
          </w:p>
        </w:tc>
      </w:tr>
      <w:tr>
        <w:tblPrEx>
          <w:tblCellMar>
            <w:top w:w="0" w:type="dxa"/>
            <w:left w:w="0" w:type="dxa"/>
            <w:bottom w:w="0" w:type="dxa"/>
            <w:right w:w="0" w:type="dxa"/>
          </w:tblCellMar>
        </w:tblPrEx>
        <w:trPr>
          <w:cantSplit/>
          <w:trHeight w:val="864" w:hRule="atLeast"/>
          <w:jc w:val="center"/>
        </w:trPr>
        <w:tc>
          <w:tcPr>
            <w:tcW w:w="1187" w:type="dxa"/>
            <w:vMerge w:val="restart"/>
            <w:tcBorders>
              <w:top w:val="single" w:color="000000" w:sz="2" w:space="0"/>
              <w:left w:val="single" w:color="000000" w:sz="6"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16</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可疑主体控股股东或实际控制人名称</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可疑主体控股股东或实际控制人的含义参见《中华人民共和国公司法》等法律法规内容。</w:t>
            </w:r>
          </w:p>
        </w:tc>
      </w:tr>
      <w:tr>
        <w:tblPrEx>
          <w:tblCellMar>
            <w:top w:w="0" w:type="dxa"/>
            <w:left w:w="0" w:type="dxa"/>
            <w:bottom w:w="0" w:type="dxa"/>
            <w:right w:w="0" w:type="dxa"/>
          </w:tblCellMar>
        </w:tblPrEx>
        <w:trPr>
          <w:cantSplit/>
          <w:trHeight w:val="1152"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17</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可疑主体控股股东或实际控制人身份证件或证明文件类型</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按照国家反洗钱法律、法规和中国人民银行规章的有关规定，对对公客户的控股股东进行身份识别时记载的有效身份证件或证明文件的种类。</w:t>
            </w:r>
          </w:p>
        </w:tc>
      </w:tr>
      <w:tr>
        <w:tblPrEx>
          <w:tblCellMar>
            <w:top w:w="0" w:type="dxa"/>
            <w:left w:w="0" w:type="dxa"/>
            <w:bottom w:w="0" w:type="dxa"/>
            <w:right w:w="0" w:type="dxa"/>
          </w:tblCellMar>
        </w:tblPrEx>
        <w:trPr>
          <w:cantSplit/>
          <w:trHeight w:val="1152"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18</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与可疑主体控股股东的有效身份证件或证明文件类型相对应的证件号码。</w:t>
            </w:r>
          </w:p>
        </w:tc>
      </w:tr>
      <w:tr>
        <w:tblPrEx>
          <w:tblCellMar>
            <w:top w:w="0" w:type="dxa"/>
            <w:left w:w="0" w:type="dxa"/>
            <w:bottom w:w="0" w:type="dxa"/>
            <w:right w:w="0" w:type="dxa"/>
          </w:tblCellMar>
        </w:tblPrEx>
        <w:trPr>
          <w:cantSplit/>
          <w:trHeight w:val="288"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19</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可疑主体国籍</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客户的有效身份证件或证明文件中记载的国籍或注册地所属国。</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20</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可疑主体开户时间</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客户在证券期货业机构开设资金账户的时间。</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6"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21</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可疑主体销户时间</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客户在证券期货业机构撤销资金账户的时间。</w:t>
            </w:r>
          </w:p>
        </w:tc>
      </w:tr>
      <w:tr>
        <w:tblPrEx>
          <w:tblCellMar>
            <w:top w:w="0" w:type="dxa"/>
            <w:left w:w="0" w:type="dxa"/>
            <w:bottom w:w="0" w:type="dxa"/>
            <w:right w:w="0" w:type="dxa"/>
          </w:tblCellMar>
        </w:tblPrEx>
        <w:trPr>
          <w:cantSplit/>
          <w:trHeight w:val="576" w:hRule="atLeast"/>
          <w:jc w:val="center"/>
        </w:trPr>
        <w:tc>
          <w:tcPr>
            <w:tcW w:w="1187"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第三部分：报告基本信息</w:t>
            </w: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22</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报告紧急程度</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经报告机构反洗钱工作主管部门负责人审批同意，需中国反洗钱监测分析中心收到报告后立即处理的，为特别紧急可疑交易报告。</w:t>
            </w:r>
          </w:p>
        </w:tc>
      </w:tr>
      <w:tr>
        <w:tblPrEx>
          <w:tblCellMar>
            <w:top w:w="0" w:type="dxa"/>
            <w:left w:w="0" w:type="dxa"/>
            <w:bottom w:w="0" w:type="dxa"/>
            <w:right w:w="0" w:type="dxa"/>
          </w:tblCellMar>
        </w:tblPrEx>
        <w:trPr>
          <w:cantSplit/>
          <w:trHeight w:val="864"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23</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报送次数标志</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对之前已报送的可疑交易报告中部分或全部可疑主体，补充关于相同涉罪类型的可疑交易或行为信息称为追加报告，否则称为初次报告。该字段描述用于区分追加报告还是初次报告。</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24</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报送方向</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报告机构发现可疑主体及其交易行为后按照相关法规要求采取的针对措施。</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25</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可疑交易报告触发点</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触发报送可疑交易报告的原因。</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26</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资金交易及客户行为情况</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包括但不限于账户开立情况，交易发生时间、地点、金额、支付方式，资金流向及客户其他异常行为等可疑主体异常情况的信息。</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27</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疑点分析</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详细总结分析账户开立、资金交易、行为背景、客户收入和交易一致性、公开信息等各方面的疑点，以支持对涉罪类型的判断。</w:t>
            </w:r>
          </w:p>
        </w:tc>
      </w:tr>
      <w:tr>
        <w:tblPrEx>
          <w:tblCellMar>
            <w:top w:w="0" w:type="dxa"/>
            <w:left w:w="0" w:type="dxa"/>
            <w:bottom w:w="0" w:type="dxa"/>
            <w:right w:w="0" w:type="dxa"/>
          </w:tblCellMar>
        </w:tblPrEx>
        <w:trPr>
          <w:cantSplit/>
          <w:trHeight w:val="288"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28</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疑似涉罪类型</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可疑主体可能涉嫌的犯罪类型。</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29</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可疑交易特征代码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可疑交易报告所符合的报告机构自主定义的可疑交易监测标准代码，报告机构应事先报备中国反洗钱监测分析中心。</w:t>
            </w:r>
          </w:p>
        </w:tc>
      </w:tr>
      <w:tr>
        <w:tblPrEx>
          <w:tblCellMar>
            <w:top w:w="0" w:type="dxa"/>
            <w:left w:w="0" w:type="dxa"/>
            <w:bottom w:w="0" w:type="dxa"/>
            <w:right w:w="0" w:type="dxa"/>
          </w:tblCellMar>
        </w:tblPrEx>
        <w:trPr>
          <w:cantSplit/>
          <w:trHeight w:val="864" w:hRule="atLeast"/>
          <w:jc w:val="center"/>
        </w:trPr>
        <w:tc>
          <w:tcPr>
            <w:tcW w:w="1187" w:type="dxa"/>
            <w:vMerge w:val="restart"/>
            <w:tcBorders>
              <w:left w:val="single" w:color="000000" w:sz="6" w:space="0"/>
              <w:bottom w:val="single" w:color="000000" w:sz="8"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第四部分：交易信息</w:t>
            </w: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30</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客户姓名或名称</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账户持有人的名称或姓名的全称，包括中文或外文。交易不通过账户办理时，填写客户办理业务时所持有效身份证件或证明文件记载的名称或姓名的全称。</w:t>
            </w:r>
          </w:p>
        </w:tc>
      </w:tr>
      <w:tr>
        <w:tblPrEx>
          <w:tblCellMar>
            <w:top w:w="0" w:type="dxa"/>
            <w:left w:w="0" w:type="dxa"/>
            <w:bottom w:w="0" w:type="dxa"/>
            <w:right w:w="0" w:type="dxa"/>
          </w:tblCellMar>
        </w:tblPrEx>
        <w:trPr>
          <w:cantSplit/>
          <w:trHeight w:val="576" w:hRule="atLeast"/>
          <w:jc w:val="center"/>
        </w:trPr>
        <w:tc>
          <w:tcPr>
            <w:tcW w:w="1187" w:type="dxa"/>
            <w:vMerge w:val="continue"/>
            <w:tcBorders>
              <w:left w:val="single" w:color="000000" w:sz="6" w:space="0"/>
              <w:bottom w:val="single" w:color="auto" w:sz="4"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auto" w:sz="4"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31</w:t>
            </w:r>
          </w:p>
        </w:tc>
        <w:tc>
          <w:tcPr>
            <w:tcW w:w="1517"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客户身份证件或证明文件类型</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576" w:hRule="atLeast"/>
          <w:jc w:val="center"/>
        </w:trPr>
        <w:tc>
          <w:tcPr>
            <w:tcW w:w="1187" w:type="dxa"/>
            <w:vMerge w:val="continue"/>
            <w:tcBorders>
              <w:top w:val="single" w:color="auto" w:sz="4" w:space="0"/>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auto" w:sz="4"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32</w:t>
            </w:r>
          </w:p>
        </w:tc>
        <w:tc>
          <w:tcPr>
            <w:tcW w:w="1517"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客户身份证件或证明文件号码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33</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交易时间</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交易实际发生的时间。</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34</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业务标识号</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用以识别一笔交易的唯一业务标识码。</w:t>
            </w:r>
          </w:p>
        </w:tc>
      </w:tr>
      <w:tr>
        <w:tblPrEx>
          <w:tblCellMar>
            <w:top w:w="0" w:type="dxa"/>
            <w:left w:w="0" w:type="dxa"/>
            <w:bottom w:w="0" w:type="dxa"/>
            <w:right w:w="0" w:type="dxa"/>
          </w:tblCellMar>
        </w:tblPrEx>
        <w:trPr>
          <w:cantSplit/>
          <w:trHeight w:val="576"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35</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客户通过非柜台方式进行交易的类型。</w:t>
            </w:r>
          </w:p>
        </w:tc>
      </w:tr>
      <w:tr>
        <w:tblPrEx>
          <w:tblCellMar>
            <w:top w:w="0" w:type="dxa"/>
            <w:left w:w="0" w:type="dxa"/>
            <w:bottom w:w="0" w:type="dxa"/>
            <w:right w:w="0" w:type="dxa"/>
          </w:tblCellMar>
        </w:tblPrEx>
        <w:trPr>
          <w:cantSplit/>
          <w:trHeight w:val="576"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36</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非柜台交易方式的设备代码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客户通过非柜台方式进行交易所使用设备的标识号。</w:t>
            </w:r>
          </w:p>
        </w:tc>
      </w:tr>
      <w:tr>
        <w:tblPrEx>
          <w:tblCellMar>
            <w:top w:w="0" w:type="dxa"/>
            <w:left w:w="0" w:type="dxa"/>
            <w:bottom w:w="0" w:type="dxa"/>
            <w:right w:w="0" w:type="dxa"/>
          </w:tblCellMar>
        </w:tblPrEx>
        <w:trPr>
          <w:cantSplit/>
          <w:trHeight w:val="864"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37</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交易种类</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被报告可疑交易中涉及的交易种类。在非银证或银期转账时，交易种类按交易对象的品种划分，主要为股票、债券、基金、权证、期货等；银证或银期转账单独作为一种交易种类报送。</w:t>
            </w:r>
          </w:p>
        </w:tc>
      </w:tr>
      <w:tr>
        <w:tblPrEx>
          <w:tblCellMar>
            <w:top w:w="0" w:type="dxa"/>
            <w:left w:w="0" w:type="dxa"/>
            <w:bottom w:w="0" w:type="dxa"/>
            <w:right w:w="0" w:type="dxa"/>
          </w:tblCellMar>
        </w:tblPrEx>
        <w:trPr>
          <w:cantSplit/>
          <w:trHeight w:val="576"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38</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合同编号</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报告机构与客户间订立合同相关的唯一标识号（包括但不限于合同编号、档案号）。</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39</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流水号</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各交易所主机当日产生的成交流水号。</w:t>
            </w:r>
          </w:p>
        </w:tc>
      </w:tr>
      <w:tr>
        <w:tblPrEx>
          <w:tblCellMar>
            <w:top w:w="0" w:type="dxa"/>
            <w:left w:w="0" w:type="dxa"/>
            <w:bottom w:w="0" w:type="dxa"/>
            <w:right w:w="0" w:type="dxa"/>
          </w:tblCellMar>
        </w:tblPrEx>
        <w:trPr>
          <w:cantSplit/>
          <w:trHeight w:val="1152"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40</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交易品种代码</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涉及的资产交易种类的具体代码。如股票代码、债券代码、基金代码、期货代码等，对于买卖境外资产的，应为资产所在国际通用国别字母简写加相关代码的方式，如香港股票代码00013为HK00013。</w:t>
            </w:r>
          </w:p>
        </w:tc>
      </w:tr>
      <w:tr>
        <w:tblPrEx>
          <w:tblCellMar>
            <w:top w:w="0" w:type="dxa"/>
            <w:left w:w="0" w:type="dxa"/>
            <w:bottom w:w="0" w:type="dxa"/>
            <w:right w:w="0" w:type="dxa"/>
          </w:tblCellMar>
        </w:tblPrEx>
        <w:trPr>
          <w:cantSplit/>
          <w:trHeight w:val="576"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41</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成交价格</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交易对应的交易种类的成交价格，即买卖双方实际达成交易的价格，包含成交佣金及相关税费。</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42</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成交数量</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交易以成交价格成交的数量。</w:t>
            </w:r>
          </w:p>
        </w:tc>
      </w:tr>
      <w:tr>
        <w:tblPrEx>
          <w:tblCellMar>
            <w:top w:w="0" w:type="dxa"/>
            <w:left w:w="0" w:type="dxa"/>
            <w:bottom w:w="0" w:type="dxa"/>
            <w:right w:w="0" w:type="dxa"/>
          </w:tblCellMar>
        </w:tblPrEx>
        <w:trPr>
          <w:cantSplit/>
          <w:trHeight w:val="864"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43</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资金进出方向</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客户资金账户的收付方向，分成收(卖)、付(买)两类。收指的是资金账户转入资金（卖出交易产品），付指的是资金账户转出资金（买入交易产品）。</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44</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资金进出方式</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客户的资金账户的交易方式，分为现金、转账和其他。</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45</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币种</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交易使用的币种。</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46</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交易金额</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与币种一致的交易金额。</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47</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交易信息备注1</w:t>
            </w:r>
          </w:p>
        </w:tc>
        <w:tc>
          <w:tcPr>
            <w:tcW w:w="544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r>
        <w:tblPrEx>
          <w:tblCellMar>
            <w:top w:w="0" w:type="dxa"/>
            <w:left w:w="0" w:type="dxa"/>
            <w:bottom w:w="0" w:type="dxa"/>
            <w:right w:w="0" w:type="dxa"/>
          </w:tblCellMar>
        </w:tblPrEx>
        <w:trPr>
          <w:cantSplit/>
          <w:trHeight w:val="288" w:hRule="atLeast"/>
          <w:jc w:val="center"/>
        </w:trPr>
        <w:tc>
          <w:tcPr>
            <w:tcW w:w="1187" w:type="dxa"/>
            <w:vMerge w:val="continue"/>
            <w:tcBorders>
              <w:left w:val="single" w:color="000000" w:sz="6" w:space="0"/>
              <w:bottom w:val="single" w:color="000000" w:sz="8" w:space="0"/>
              <w:right w:val="single" w:color="000000" w:sz="4" w:space="0"/>
            </w:tcBorders>
            <w:vAlign w:val="center"/>
          </w:tcPr>
          <w:p>
            <w:pPr>
              <w:spacing w:after="160" w:line="276" w:lineRule="auto"/>
              <w:rPr>
                <w:rFonts w:hint="eastAsia" w:ascii="仿宋" w:hAnsi="仿宋" w:eastAsia="仿宋" w:cs="仿宋"/>
                <w:szCs w:val="21"/>
              </w:rPr>
            </w:pPr>
          </w:p>
        </w:tc>
        <w:tc>
          <w:tcPr>
            <w:tcW w:w="653"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48</w:t>
            </w:r>
          </w:p>
        </w:tc>
        <w:tc>
          <w:tcPr>
            <w:tcW w:w="1517"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交易信息备注2</w:t>
            </w:r>
          </w:p>
        </w:tc>
        <w:tc>
          <w:tcPr>
            <w:tcW w:w="5449" w:type="dxa"/>
            <w:tcBorders>
              <w:top w:val="single" w:color="000000" w:sz="2" w:space="0"/>
              <w:left w:val="single" w:color="000000" w:sz="2" w:space="0"/>
              <w:bottom w:val="single" w:color="000000" w:sz="6"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bl>
    <w:p>
      <w:pPr>
        <w:adjustRightInd w:val="0"/>
        <w:snapToGrid w:val="0"/>
        <w:spacing w:line="312" w:lineRule="auto"/>
        <w:ind w:firstLine="420" w:firstLineChars="200"/>
        <w:jc w:val="cente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附件4.</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保险业可疑交易报告要素及释义（2017）</w:t>
      </w:r>
    </w:p>
    <w:tbl>
      <w:tblPr>
        <w:tblStyle w:val="27"/>
        <w:tblW w:w="8786" w:type="dxa"/>
        <w:jc w:val="center"/>
        <w:tblLayout w:type="fixed"/>
        <w:tblCellMar>
          <w:top w:w="0" w:type="dxa"/>
          <w:left w:w="0" w:type="dxa"/>
          <w:bottom w:w="0" w:type="dxa"/>
          <w:right w:w="0" w:type="dxa"/>
        </w:tblCellMar>
      </w:tblPr>
      <w:tblGrid>
        <w:gridCol w:w="1161"/>
        <w:gridCol w:w="570"/>
        <w:gridCol w:w="2196"/>
        <w:gridCol w:w="4859"/>
      </w:tblGrid>
      <w:tr>
        <w:tblPrEx>
          <w:tblCellMar>
            <w:top w:w="0" w:type="dxa"/>
            <w:left w:w="0" w:type="dxa"/>
            <w:bottom w:w="0" w:type="dxa"/>
            <w:right w:w="0" w:type="dxa"/>
          </w:tblCellMar>
        </w:tblPrEx>
        <w:trPr>
          <w:trHeight w:val="288" w:hRule="atLeast"/>
          <w:jc w:val="center"/>
        </w:trPr>
        <w:tc>
          <w:tcPr>
            <w:tcW w:w="1161"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ind w:firstLine="422"/>
              <w:jc w:val="center"/>
              <w:textAlignment w:val="center"/>
              <w:rPr>
                <w:rFonts w:hint="eastAsia" w:ascii="仿宋" w:hAnsi="仿宋" w:eastAsia="仿宋" w:cs="仿宋"/>
                <w:b/>
                <w:szCs w:val="21"/>
              </w:rPr>
            </w:pPr>
            <w:r>
              <w:rPr>
                <w:rFonts w:hint="eastAsia" w:ascii="仿宋" w:hAnsi="仿宋" w:eastAsia="仿宋" w:cs="仿宋"/>
                <w:b/>
                <w:szCs w:val="21"/>
              </w:rPr>
              <w:t>部分</w:t>
            </w: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ind w:firstLine="422"/>
              <w:jc w:val="center"/>
              <w:textAlignment w:val="center"/>
              <w:rPr>
                <w:rFonts w:hint="eastAsia" w:ascii="仿宋" w:hAnsi="仿宋" w:eastAsia="仿宋" w:cs="仿宋"/>
                <w:b/>
                <w:szCs w:val="21"/>
              </w:rPr>
            </w:pPr>
            <w:r>
              <w:rPr>
                <w:rFonts w:hint="eastAsia" w:ascii="仿宋" w:hAnsi="仿宋" w:eastAsia="仿宋" w:cs="仿宋"/>
                <w:b/>
                <w:szCs w:val="21"/>
              </w:rPr>
              <w:t>编号</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ind w:firstLine="422"/>
              <w:jc w:val="center"/>
              <w:textAlignment w:val="center"/>
              <w:rPr>
                <w:rFonts w:hint="eastAsia" w:ascii="仿宋" w:hAnsi="仿宋" w:eastAsia="仿宋" w:cs="仿宋"/>
                <w:b/>
                <w:szCs w:val="21"/>
              </w:rPr>
            </w:pPr>
            <w:r>
              <w:rPr>
                <w:rFonts w:hint="eastAsia" w:ascii="仿宋" w:hAnsi="仿宋" w:eastAsia="仿宋" w:cs="仿宋"/>
                <w:b/>
                <w:szCs w:val="21"/>
              </w:rPr>
              <w:t>字段内容</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ind w:firstLine="422"/>
              <w:jc w:val="center"/>
              <w:textAlignment w:val="center"/>
              <w:rPr>
                <w:rFonts w:hint="eastAsia" w:ascii="仿宋" w:hAnsi="仿宋" w:eastAsia="仿宋" w:cs="仿宋"/>
                <w:b/>
                <w:szCs w:val="21"/>
              </w:rPr>
            </w:pPr>
            <w:r>
              <w:rPr>
                <w:rFonts w:hint="eastAsia" w:ascii="仿宋" w:hAnsi="仿宋" w:eastAsia="仿宋" w:cs="仿宋"/>
                <w:b/>
                <w:szCs w:val="21"/>
              </w:rPr>
              <w:t>释义</w:t>
            </w:r>
          </w:p>
        </w:tc>
      </w:tr>
      <w:tr>
        <w:tblPrEx>
          <w:tblCellMar>
            <w:top w:w="0" w:type="dxa"/>
            <w:left w:w="0" w:type="dxa"/>
            <w:bottom w:w="0" w:type="dxa"/>
            <w:right w:w="0" w:type="dxa"/>
          </w:tblCellMar>
        </w:tblPrEx>
        <w:trPr>
          <w:cantSplit/>
          <w:trHeight w:val="864" w:hRule="atLeast"/>
          <w:jc w:val="center"/>
        </w:trPr>
        <w:tc>
          <w:tcPr>
            <w:tcW w:w="1161"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第一部分：报告机构信息</w:t>
            </w: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报告机构编码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用以识别报告机构身份的唯一代码，填写中国人民银行发放的《金融机构代码证》上载明的金融机构代码。如果尚未取得金融机构代码，则经申请后由中国反洗钱监测分析中心分配报告机构编码。</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网点代码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发现可疑交易的金融机构网点的唯一代码，填写中国人民银行发放的《金融机构代码证》上载明的金融机构代码。如果尚未取得金融机构代码，则由报告机构自行编制内部唯一代码。</w:t>
            </w:r>
          </w:p>
        </w:tc>
      </w:tr>
      <w:tr>
        <w:tblPrEx>
          <w:tblCellMar>
            <w:top w:w="0" w:type="dxa"/>
            <w:left w:w="0" w:type="dxa"/>
            <w:bottom w:w="0" w:type="dxa"/>
            <w:right w:w="0" w:type="dxa"/>
          </w:tblCellMar>
        </w:tblPrEx>
        <w:trPr>
          <w:cantSplit/>
          <w:trHeight w:val="864" w:hRule="atLeast"/>
          <w:jc w:val="center"/>
        </w:trPr>
        <w:tc>
          <w:tcPr>
            <w:tcW w:w="1161" w:type="dxa"/>
            <w:vMerge w:val="restart"/>
            <w:tcBorders>
              <w:top w:val="single" w:color="000000" w:sz="2" w:space="0"/>
              <w:left w:val="single" w:color="000000" w:sz="2" w:space="0"/>
              <w:bottom w:val="single" w:color="000000" w:sz="2" w:space="0"/>
              <w:right w:val="single" w:color="000000" w:sz="4"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第二部分：可疑主体信息</w:t>
            </w: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可疑主体姓名或名称</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被报告为可疑主体的客户的名称或姓名全称，包括中文或外文。</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可疑主体身份证件或证明文件类型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5</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可疑主体证件号码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6</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可疑主体职业（对私）或行业（对公）</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按照国家反洗钱法律、法规和中国人民银行规章的有关规定，对客户进行身份识别时记载的职业或主营业务类别。</w:t>
            </w:r>
          </w:p>
        </w:tc>
      </w:tr>
      <w:tr>
        <w:tblPrEx>
          <w:tblCellMar>
            <w:top w:w="0" w:type="dxa"/>
            <w:left w:w="0" w:type="dxa"/>
            <w:bottom w:w="0" w:type="dxa"/>
            <w:right w:w="0" w:type="dxa"/>
          </w:tblCellMar>
        </w:tblPrEx>
        <w:trPr>
          <w:cantSplit/>
          <w:trHeight w:val="576"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7</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可疑主体联系方式</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包括联系电话、常住（邮寄）地址和其他联系方式，不同联系方式之间用“，”分割。</w:t>
            </w:r>
          </w:p>
        </w:tc>
      </w:tr>
      <w:tr>
        <w:tblPrEx>
          <w:tblCellMar>
            <w:top w:w="0" w:type="dxa"/>
            <w:left w:w="0" w:type="dxa"/>
            <w:bottom w:w="0" w:type="dxa"/>
            <w:right w:w="0" w:type="dxa"/>
          </w:tblCellMar>
        </w:tblPrEx>
        <w:trPr>
          <w:cantSplit/>
          <w:trHeight w:val="576"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8</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可疑主体法定代表人姓名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客户为法人时其有效证明文件载明的法定代表人姓名的全称。</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9</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按照国家反洗钱法律、法规和中国人民银行规章的有关规定，对法定代表人进行身份识别时记载的有效身份证件种类。</w:t>
            </w:r>
          </w:p>
        </w:tc>
      </w:tr>
      <w:tr>
        <w:tblPrEx>
          <w:tblCellMar>
            <w:top w:w="0" w:type="dxa"/>
            <w:left w:w="0" w:type="dxa"/>
            <w:bottom w:w="0" w:type="dxa"/>
            <w:right w:w="0" w:type="dxa"/>
          </w:tblCellMar>
        </w:tblPrEx>
        <w:trPr>
          <w:cantSplit/>
          <w:trHeight w:val="75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10</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与可疑主体法定代表人有效身份证件类型对应的证件号码。</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11</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可疑主体控股股东或实际控制人名称</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可疑主体控股股东或实际控制人的含义参见《中华人民共和国公司法》等法律法规内容。</w:t>
            </w:r>
          </w:p>
        </w:tc>
      </w:tr>
      <w:tr>
        <w:tblPrEx>
          <w:tblCellMar>
            <w:top w:w="0" w:type="dxa"/>
            <w:left w:w="0" w:type="dxa"/>
            <w:bottom w:w="0" w:type="dxa"/>
            <w:right w:w="0" w:type="dxa"/>
          </w:tblCellMar>
        </w:tblPrEx>
        <w:trPr>
          <w:cantSplit/>
          <w:trHeight w:val="1152"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12</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按照国家反洗钱法律、法规和中国人民银行规章的有关规定，对对公客户的控股股东进行身份识别时记载的有效身份证件或证明文件的种类。</w:t>
            </w:r>
          </w:p>
        </w:tc>
      </w:tr>
      <w:tr>
        <w:tblPrEx>
          <w:tblCellMar>
            <w:top w:w="0" w:type="dxa"/>
            <w:left w:w="0" w:type="dxa"/>
            <w:bottom w:w="0" w:type="dxa"/>
            <w:right w:w="0" w:type="dxa"/>
          </w:tblCellMar>
        </w:tblPrEx>
        <w:trPr>
          <w:cantSplit/>
          <w:trHeight w:val="1152"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与可疑主体控股股东的有效身份证件或证明文件类型相对应的证件号码。</w:t>
            </w:r>
          </w:p>
        </w:tc>
      </w:tr>
      <w:tr>
        <w:tblPrEx>
          <w:tblCellMar>
            <w:top w:w="0" w:type="dxa"/>
            <w:left w:w="0" w:type="dxa"/>
            <w:bottom w:w="0" w:type="dxa"/>
            <w:right w:w="0" w:type="dxa"/>
          </w:tblCellMar>
        </w:tblPrEx>
        <w:trPr>
          <w:cantSplit/>
          <w:trHeight w:val="228" w:hRule="atLeast"/>
          <w:jc w:val="center"/>
        </w:trPr>
        <w:tc>
          <w:tcPr>
            <w:tcW w:w="1161"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14</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可疑主体国籍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客户的有效身份证件或证明文件中记载的国籍或注册地所属国。</w:t>
            </w:r>
          </w:p>
        </w:tc>
      </w:tr>
      <w:tr>
        <w:tblPrEx>
          <w:tblCellMar>
            <w:top w:w="0" w:type="dxa"/>
            <w:left w:w="0" w:type="dxa"/>
            <w:bottom w:w="0" w:type="dxa"/>
            <w:right w:w="0" w:type="dxa"/>
          </w:tblCellMar>
        </w:tblPrEx>
        <w:trPr>
          <w:cantSplit/>
          <w:trHeight w:val="864" w:hRule="atLeast"/>
          <w:jc w:val="center"/>
        </w:trPr>
        <w:tc>
          <w:tcPr>
            <w:tcW w:w="1161"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第三部分：报告基本信息</w:t>
            </w: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15</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报告紧急程度</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经报告机构反洗钱工作主管部门负责人审批同意，需中国反洗钱监测分析中心收到报告后立即处理的，为特别紧急可疑交易报告。</w:t>
            </w:r>
          </w:p>
        </w:tc>
      </w:tr>
      <w:tr>
        <w:tblPrEx>
          <w:tblCellMar>
            <w:top w:w="0" w:type="dxa"/>
            <w:left w:w="0" w:type="dxa"/>
            <w:bottom w:w="0" w:type="dxa"/>
            <w:right w:w="0" w:type="dxa"/>
          </w:tblCellMar>
        </w:tblPrEx>
        <w:trPr>
          <w:cantSplit/>
          <w:trHeight w:val="1152"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16</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报送次数标志</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对之前已报送的可疑交易报告中部分或全部可疑主体，补充关于相同涉罪类型的可疑交易或行为信息称为追加报告，否则称为初次报告。该字段描述用于区分追加报告还是初次报告。</w:t>
            </w:r>
          </w:p>
        </w:tc>
      </w:tr>
      <w:tr>
        <w:tblPrEx>
          <w:tblCellMar>
            <w:top w:w="0" w:type="dxa"/>
            <w:left w:w="0" w:type="dxa"/>
            <w:bottom w:w="0" w:type="dxa"/>
            <w:right w:w="0" w:type="dxa"/>
          </w:tblCellMar>
        </w:tblPrEx>
        <w:trPr>
          <w:cantSplit/>
          <w:trHeight w:val="576"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17</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报送方向</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发现可疑主体及其交易行为后按照相关法规要求采取的针对措施。</w:t>
            </w:r>
          </w:p>
        </w:tc>
      </w:tr>
      <w:tr>
        <w:tblPrEx>
          <w:tblCellMar>
            <w:top w:w="0" w:type="dxa"/>
            <w:left w:w="0" w:type="dxa"/>
            <w:bottom w:w="0" w:type="dxa"/>
            <w:right w:w="0" w:type="dxa"/>
          </w:tblCellMar>
        </w:tblPrEx>
        <w:trPr>
          <w:cantSplit/>
          <w:trHeight w:val="576"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18</w:t>
            </w:r>
          </w:p>
        </w:tc>
        <w:tc>
          <w:tcPr>
            <w:tcW w:w="2196" w:type="dxa"/>
            <w:tcBorders>
              <w:top w:val="single" w:color="000000" w:sz="2" w:space="0"/>
              <w:left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可疑交易报告触发点</w:t>
            </w:r>
          </w:p>
        </w:tc>
        <w:tc>
          <w:tcPr>
            <w:tcW w:w="4859" w:type="dxa"/>
            <w:tcBorders>
              <w:top w:val="single" w:color="000000" w:sz="2" w:space="0"/>
              <w:left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触发报送可疑交易报告的原因。</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19</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资金交易及客户行为情况</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包括但不限于账户开立情况，交易发生时间、地点、金额、支付方式，资金流向及客户其他异常行为等可疑主体异常情况的信息。</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20</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疑点分析</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详细总结分析账户开立、资金交易、行为背景、客户收入和交易一致性、公开信息等各方面的疑点，以支持对涉罪类型的判断</w:t>
            </w:r>
          </w:p>
        </w:tc>
      </w:tr>
      <w:tr>
        <w:tblPrEx>
          <w:tblCellMar>
            <w:top w:w="0" w:type="dxa"/>
            <w:left w:w="0" w:type="dxa"/>
            <w:bottom w:w="0" w:type="dxa"/>
            <w:right w:w="0" w:type="dxa"/>
          </w:tblCellMar>
        </w:tblPrEx>
        <w:trPr>
          <w:cantSplit/>
          <w:trHeight w:val="228"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21</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疑似涉罪类型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可疑主体可能涉嫌的犯罪类型。</w:t>
            </w:r>
          </w:p>
        </w:tc>
      </w:tr>
      <w:tr>
        <w:tblPrEx>
          <w:tblCellMar>
            <w:top w:w="0" w:type="dxa"/>
            <w:left w:w="0" w:type="dxa"/>
            <w:bottom w:w="0" w:type="dxa"/>
            <w:right w:w="0" w:type="dxa"/>
          </w:tblCellMar>
        </w:tblPrEx>
        <w:trPr>
          <w:cantSplit/>
          <w:trHeight w:val="576" w:hRule="atLeast"/>
          <w:jc w:val="center"/>
        </w:trPr>
        <w:tc>
          <w:tcPr>
            <w:tcW w:w="1161"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22</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可疑交易特征代码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可疑交易报告所符合的报告机构自主定义的可疑交易监测标准代码，报告机构应事先报备中国反洗钱监测分析中心。</w:t>
            </w:r>
          </w:p>
        </w:tc>
      </w:tr>
      <w:tr>
        <w:tblPrEx>
          <w:tblCellMar>
            <w:top w:w="0" w:type="dxa"/>
            <w:left w:w="0" w:type="dxa"/>
            <w:bottom w:w="0" w:type="dxa"/>
            <w:right w:w="0" w:type="dxa"/>
          </w:tblCellMar>
        </w:tblPrEx>
        <w:trPr>
          <w:cantSplit/>
          <w:trHeight w:val="228" w:hRule="atLeast"/>
          <w:jc w:val="center"/>
        </w:trPr>
        <w:tc>
          <w:tcPr>
            <w:tcW w:w="1161" w:type="dxa"/>
            <w:vMerge w:val="restart"/>
            <w:tcBorders>
              <w:left w:val="single" w:color="000000" w:sz="2" w:space="0"/>
              <w:bottom w:val="single" w:color="000000" w:sz="4" w:space="0"/>
              <w:right w:val="single" w:color="000000" w:sz="4"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第四部分：交易信息</w:t>
            </w: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保险合同号</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用以识别合同的唯一代码。</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24</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保险种类</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合同所属的类型，分为人寿险、财产险、再保险等。</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25</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保险名称</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合同的中文或英文名称。</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26</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保险期间</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开始缴纳保险费的日期到终止缴纳保险费的日期。</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27</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投保人名称或姓名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保险合同投保人的名称或姓名的全称，包括中文或外文。</w:t>
            </w:r>
          </w:p>
        </w:tc>
      </w:tr>
      <w:tr>
        <w:tblPrEx>
          <w:tblCellMar>
            <w:top w:w="0" w:type="dxa"/>
            <w:left w:w="0" w:type="dxa"/>
            <w:bottom w:w="0" w:type="dxa"/>
            <w:right w:w="0" w:type="dxa"/>
          </w:tblCellMar>
        </w:tblPrEx>
        <w:trPr>
          <w:cantSplit/>
          <w:trHeight w:val="864"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28</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投保人身份证件或证明文件类型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按照国家反洗钱法律、法规和中国人民银行规章的有关规定，对投保人进行身份识别时记载的有效身份证件或证明文件的种类。</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29</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投保人身份证件或证明文件号码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与投保人的有效身份证件或证明文件类型相对应的证件号码。</w:t>
            </w:r>
          </w:p>
        </w:tc>
      </w:tr>
      <w:tr>
        <w:tblPrEx>
          <w:tblCellMar>
            <w:top w:w="0" w:type="dxa"/>
            <w:left w:w="0" w:type="dxa"/>
            <w:bottom w:w="0" w:type="dxa"/>
            <w:right w:w="0" w:type="dxa"/>
          </w:tblCellMar>
        </w:tblPrEx>
        <w:trPr>
          <w:cantSplit/>
          <w:trHeight w:val="864"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30</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投保人类型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保险合同的投保人的类型，参考《人民币银行结算账户管理办法》对存款人的定义，分为机关、团体、企业、事业单位、其他组织、个体工商户、自然人。</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auto"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31</w:t>
            </w:r>
          </w:p>
        </w:tc>
        <w:tc>
          <w:tcPr>
            <w:tcW w:w="2196"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被保险人名称或姓名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 xml:space="preserve">保险合同被保险人的名称或姓名的全称，包括中文或外文。     </w:t>
            </w:r>
          </w:p>
        </w:tc>
      </w:tr>
      <w:tr>
        <w:tblPrEx>
          <w:tblCellMar>
            <w:top w:w="0" w:type="dxa"/>
            <w:left w:w="0" w:type="dxa"/>
            <w:bottom w:w="0" w:type="dxa"/>
            <w:right w:w="0" w:type="dxa"/>
          </w:tblCellMar>
        </w:tblPrEx>
        <w:trPr>
          <w:cantSplit/>
          <w:trHeight w:val="864" w:hRule="atLeast"/>
          <w:jc w:val="center"/>
        </w:trPr>
        <w:tc>
          <w:tcPr>
            <w:tcW w:w="1161" w:type="dxa"/>
            <w:vMerge w:val="continue"/>
            <w:tcBorders>
              <w:top w:val="single" w:color="auto" w:sz="4"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32</w:t>
            </w:r>
          </w:p>
        </w:tc>
        <w:tc>
          <w:tcPr>
            <w:tcW w:w="2196"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被保险人身份证件或证明文件类型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按照国家反洗钱法律、法规和中国人民银行规章的有关规定，对被保险人进行身份识别时记载的有效身份证件或证明文件的种类。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被保险人身份证件或证明文件号码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与被保险人的有效身份证件或证明文件类型相对应的证件号码。</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34</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投保人与被保险人的关系</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对被报告保险合同中投保人与被保险人的关系进行描述，如：夫妻、父子等。</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35</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受益人名称或姓名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 xml:space="preserve">保险合同受益人的名称或姓名的全称，包括中文或外文。 </w:t>
            </w:r>
          </w:p>
        </w:tc>
      </w:tr>
      <w:tr>
        <w:tblPrEx>
          <w:tblCellMar>
            <w:top w:w="0" w:type="dxa"/>
            <w:left w:w="0" w:type="dxa"/>
            <w:bottom w:w="0" w:type="dxa"/>
            <w:right w:w="0" w:type="dxa"/>
          </w:tblCellMar>
        </w:tblPrEx>
        <w:trPr>
          <w:cantSplit/>
          <w:trHeight w:val="864"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36</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受益人身份证件或证明文件类型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按照国家反洗钱法律、法规和中国人民银行规章的有关规定，对受益人进行身份识别时记载的有效身份证件或证明文件的种类。</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37</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受益人身份证件或证明文件号码</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与受益人的有效身份证件或证明文件类型相对应的证件号码。</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38</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保险标的</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作为保险对象的财产及其有关利益或人的生命和身体，是保险利益的载体。</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39</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保险金额</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保险公司承担赔偿或给付保险金责任的最高限额，即投保人对保险标的的实际投保金额。</w:t>
            </w:r>
          </w:p>
        </w:tc>
      </w:tr>
      <w:tr>
        <w:tblPrEx>
          <w:tblCellMar>
            <w:top w:w="0" w:type="dxa"/>
            <w:left w:w="0" w:type="dxa"/>
            <w:bottom w:w="0" w:type="dxa"/>
            <w:right w:w="0" w:type="dxa"/>
          </w:tblCellMar>
        </w:tblPrEx>
        <w:trPr>
          <w:cantSplit/>
          <w:trHeight w:val="1152"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40</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保险费</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缴费方式为趸缴时，指投保人根据其投保时锁定的保险费率向保险人交付的总费用；缴费方式为期缴（月缴、季缴、半年缴、年缴）时，由报告机构根据期缴费用和期缴次数，计算（估算）缴费总规模。</w:t>
            </w:r>
          </w:p>
        </w:tc>
      </w:tr>
      <w:tr>
        <w:tblPrEx>
          <w:tblCellMar>
            <w:top w:w="0" w:type="dxa"/>
            <w:left w:w="0" w:type="dxa"/>
            <w:bottom w:w="0" w:type="dxa"/>
            <w:right w:w="0" w:type="dxa"/>
          </w:tblCellMar>
        </w:tblPrEx>
        <w:trPr>
          <w:cantSplit/>
          <w:trHeight w:val="1152"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41</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 xml:space="preserve">缴费方式 </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被报告合同中设定的缴纳保险费的方式，分为趸缴和期缴。趸缴指的是一次性缴纳保险费；期缴指的是分期支付，按照保险合同的约定主要有月缴、季缴、半年缴、年缴等方式。</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42</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保险合同其他信息</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与被报告保险合同有关的其他信息。</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交易时间</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客户与保险公司之间发生资金收付的时间。</w:t>
            </w:r>
          </w:p>
        </w:tc>
      </w:tr>
      <w:tr>
        <w:tblPrEx>
          <w:tblCellMar>
            <w:top w:w="0" w:type="dxa"/>
            <w:left w:w="0" w:type="dxa"/>
            <w:bottom w:w="0" w:type="dxa"/>
            <w:right w:w="0" w:type="dxa"/>
          </w:tblCellMar>
        </w:tblPrEx>
        <w:trPr>
          <w:cantSplit/>
          <w:trHeight w:val="864"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44</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交易发生地</w:t>
            </w:r>
          </w:p>
        </w:tc>
        <w:tc>
          <w:tcPr>
            <w:tcW w:w="4859" w:type="dxa"/>
            <w:tcBorders>
              <w:top w:val="single" w:color="000000" w:sz="2" w:space="0"/>
              <w:left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当交易方式为现钞类交易时，按真实交易发生地填写。当交易方式是转账类交易时，如果是柜台交易，按柜台交易发生地填写；如果是非柜台交易，填写指令发出的地址。</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45</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交易类型</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具体交易类型分为投保、领取、退保。</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46</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币种</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交易使用的币种。</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47</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交易金额</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与币种一致的交易金额。</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48</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资金进出方向</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 xml:space="preserve">交易的资金收付方向（从客户角度），分成收、付两类。  </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49</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资金进出方式</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交易的资金交易方式，分为现金、转账和其他。</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50</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资金账户开户行</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交易的资金进出方式为转账时，非保险人一方的银行账户的开户行。</w:t>
            </w:r>
          </w:p>
        </w:tc>
      </w:tr>
      <w:tr>
        <w:tblPrEx>
          <w:tblCellMar>
            <w:top w:w="0" w:type="dxa"/>
            <w:left w:w="0" w:type="dxa"/>
            <w:bottom w:w="0" w:type="dxa"/>
            <w:right w:w="0" w:type="dxa"/>
          </w:tblCellMar>
        </w:tblPrEx>
        <w:trPr>
          <w:cantSplit/>
          <w:trHeight w:val="576" w:hRule="atLeast"/>
          <w:jc w:val="center"/>
        </w:trPr>
        <w:tc>
          <w:tcPr>
            <w:tcW w:w="1161" w:type="dxa"/>
            <w:vMerge w:val="continue"/>
            <w:tcBorders>
              <w:left w:val="single" w:color="000000" w:sz="2" w:space="0"/>
              <w:bottom w:val="single" w:color="auto"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51</w:t>
            </w:r>
          </w:p>
        </w:tc>
        <w:tc>
          <w:tcPr>
            <w:tcW w:w="2196"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银行转账资金账号</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该交易的资金进出方式为转账时，非保险人一方的银行账号。</w:t>
            </w:r>
          </w:p>
        </w:tc>
      </w:tr>
      <w:tr>
        <w:tblPrEx>
          <w:tblCellMar>
            <w:top w:w="0" w:type="dxa"/>
            <w:left w:w="0" w:type="dxa"/>
            <w:bottom w:w="0" w:type="dxa"/>
            <w:right w:w="0" w:type="dxa"/>
          </w:tblCellMar>
        </w:tblPrEx>
        <w:trPr>
          <w:cantSplit/>
          <w:trHeight w:val="228" w:hRule="atLeast"/>
          <w:jc w:val="center"/>
        </w:trPr>
        <w:tc>
          <w:tcPr>
            <w:tcW w:w="1161" w:type="dxa"/>
            <w:vMerge w:val="continue"/>
            <w:tcBorders>
              <w:top w:val="single" w:color="auto" w:sz="4" w:space="0"/>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52</w:t>
            </w:r>
          </w:p>
        </w:tc>
        <w:tc>
          <w:tcPr>
            <w:tcW w:w="2196" w:type="dxa"/>
            <w:tcBorders>
              <w:top w:val="single" w:color="auto" w:sz="4"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交易信息备注1</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备用字段。</w:t>
            </w:r>
          </w:p>
        </w:tc>
      </w:tr>
      <w:tr>
        <w:tblPrEx>
          <w:tblCellMar>
            <w:top w:w="0" w:type="dxa"/>
            <w:left w:w="0" w:type="dxa"/>
            <w:bottom w:w="0" w:type="dxa"/>
            <w:right w:w="0" w:type="dxa"/>
          </w:tblCellMar>
        </w:tblPrEx>
        <w:trPr>
          <w:cantSplit/>
          <w:trHeight w:val="228" w:hRule="atLeast"/>
          <w:jc w:val="center"/>
        </w:trPr>
        <w:tc>
          <w:tcPr>
            <w:tcW w:w="1161" w:type="dxa"/>
            <w:vMerge w:val="continue"/>
            <w:tcBorders>
              <w:left w:val="single" w:color="000000" w:sz="2" w:space="0"/>
              <w:bottom w:val="single" w:color="000000" w:sz="4" w:space="0"/>
              <w:right w:val="single" w:color="000000" w:sz="4" w:space="0"/>
            </w:tcBorders>
            <w:vAlign w:val="center"/>
          </w:tcPr>
          <w:p>
            <w:pPr>
              <w:spacing w:after="160" w:line="310" w:lineRule="exact"/>
              <w:rPr>
                <w:rFonts w:hint="eastAsia" w:ascii="仿宋" w:hAnsi="仿宋" w:eastAsia="仿宋" w:cs="仿宋"/>
                <w:szCs w:val="21"/>
              </w:rPr>
            </w:pPr>
          </w:p>
        </w:tc>
        <w:tc>
          <w:tcPr>
            <w:tcW w:w="570"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center"/>
              <w:textAlignment w:val="center"/>
              <w:rPr>
                <w:rFonts w:hint="eastAsia" w:ascii="仿宋" w:hAnsi="仿宋" w:eastAsia="仿宋" w:cs="仿宋"/>
                <w:szCs w:val="21"/>
              </w:rPr>
            </w:pPr>
            <w:r>
              <w:rPr>
                <w:rFonts w:hint="eastAsia" w:ascii="仿宋" w:hAnsi="仿宋" w:eastAsia="仿宋" w:cs="仿宋"/>
                <w:szCs w:val="21"/>
              </w:rPr>
              <w:t>53</w:t>
            </w:r>
          </w:p>
        </w:tc>
        <w:tc>
          <w:tcPr>
            <w:tcW w:w="2196"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交易信息备注2</w:t>
            </w:r>
          </w:p>
        </w:tc>
        <w:tc>
          <w:tcPr>
            <w:tcW w:w="485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310" w:lineRule="exact"/>
              <w:jc w:val="left"/>
              <w:textAlignment w:val="center"/>
              <w:rPr>
                <w:rFonts w:hint="eastAsia" w:ascii="仿宋" w:hAnsi="仿宋" w:eastAsia="仿宋" w:cs="仿宋"/>
                <w:szCs w:val="21"/>
              </w:rPr>
            </w:pPr>
            <w:r>
              <w:rPr>
                <w:rFonts w:hint="eastAsia" w:ascii="仿宋" w:hAnsi="仿宋" w:eastAsia="仿宋" w:cs="仿宋"/>
                <w:szCs w:val="21"/>
              </w:rPr>
              <w:t>备用字段。</w:t>
            </w:r>
          </w:p>
        </w:tc>
      </w:tr>
    </w:tbl>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附件5.</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通用可疑交易报告要素及释义（2017）</w:t>
      </w:r>
    </w:p>
    <w:tbl>
      <w:tblPr>
        <w:tblStyle w:val="27"/>
        <w:tblW w:w="8686" w:type="dxa"/>
        <w:jc w:val="center"/>
        <w:tblLayout w:type="fixed"/>
        <w:tblCellMar>
          <w:top w:w="0" w:type="dxa"/>
          <w:left w:w="0" w:type="dxa"/>
          <w:bottom w:w="0" w:type="dxa"/>
          <w:right w:w="0" w:type="dxa"/>
        </w:tblCellMar>
      </w:tblPr>
      <w:tblGrid>
        <w:gridCol w:w="1089"/>
        <w:gridCol w:w="564"/>
        <w:gridCol w:w="1679"/>
        <w:gridCol w:w="5354"/>
      </w:tblGrid>
      <w:tr>
        <w:tblPrEx>
          <w:tblCellMar>
            <w:top w:w="0" w:type="dxa"/>
            <w:left w:w="0" w:type="dxa"/>
            <w:bottom w:w="0" w:type="dxa"/>
            <w:right w:w="0" w:type="dxa"/>
          </w:tblCellMar>
        </w:tblPrEx>
        <w:trPr>
          <w:trHeight w:val="228" w:hRule="atLeast"/>
          <w:jc w:val="center"/>
        </w:trPr>
        <w:tc>
          <w:tcPr>
            <w:tcW w:w="108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szCs w:val="21"/>
              </w:rPr>
            </w:pPr>
            <w:r>
              <w:rPr>
                <w:rFonts w:hint="eastAsia" w:ascii="仿宋" w:hAnsi="仿宋" w:eastAsia="仿宋" w:cs="仿宋"/>
                <w:b/>
                <w:bCs/>
                <w:szCs w:val="21"/>
              </w:rPr>
              <w:t>部分</w:t>
            </w: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编号</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字段内容</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ind w:firstLine="422"/>
              <w:jc w:val="center"/>
              <w:textAlignment w:val="center"/>
              <w:rPr>
                <w:rFonts w:hint="eastAsia" w:ascii="仿宋" w:hAnsi="仿宋" w:eastAsia="仿宋" w:cs="仿宋"/>
                <w:b/>
                <w:szCs w:val="21"/>
              </w:rPr>
            </w:pPr>
            <w:r>
              <w:rPr>
                <w:rFonts w:hint="eastAsia" w:ascii="仿宋" w:hAnsi="仿宋" w:eastAsia="仿宋" w:cs="仿宋"/>
                <w:b/>
                <w:szCs w:val="21"/>
              </w:rPr>
              <w:t>释义</w:t>
            </w:r>
          </w:p>
        </w:tc>
      </w:tr>
      <w:tr>
        <w:tblPrEx>
          <w:tblCellMar>
            <w:top w:w="0" w:type="dxa"/>
            <w:left w:w="0" w:type="dxa"/>
            <w:bottom w:w="0" w:type="dxa"/>
            <w:right w:w="0" w:type="dxa"/>
          </w:tblCellMar>
        </w:tblPrEx>
        <w:trPr>
          <w:cantSplit/>
          <w:trHeight w:val="1152" w:hRule="atLeast"/>
          <w:jc w:val="center"/>
        </w:trPr>
        <w:tc>
          <w:tcPr>
            <w:tcW w:w="1089"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第一部分：报告机构信息</w:t>
            </w: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报告机构编码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用以识别报告机构身份的唯一代码，填写中国人民银行发放的《金融机构代码证》上载明的金融机构代码。如果尚未取得金融机构代码，则经申请后由中国反洗钱监测分析中心分配报告机构编码。</w:t>
            </w:r>
          </w:p>
        </w:tc>
      </w:tr>
      <w:tr>
        <w:tblPrEx>
          <w:tblCellMar>
            <w:top w:w="0" w:type="dxa"/>
            <w:left w:w="0" w:type="dxa"/>
            <w:bottom w:w="0" w:type="dxa"/>
            <w:right w:w="0" w:type="dxa"/>
          </w:tblCellMar>
        </w:tblPrEx>
        <w:trPr>
          <w:cantSplit/>
          <w:trHeight w:val="1152"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网点代码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发现可疑交易的金融机构网点的唯一代码，填写中国人民银行发放的《金融机构代码证》上载明的金融机构代码。如果尚未取得金融机构代码，则由报告机构自行编制内部唯一代码。</w:t>
            </w:r>
          </w:p>
        </w:tc>
      </w:tr>
      <w:tr>
        <w:tblPrEx>
          <w:tblCellMar>
            <w:top w:w="0" w:type="dxa"/>
            <w:left w:w="0" w:type="dxa"/>
            <w:bottom w:w="0" w:type="dxa"/>
            <w:right w:w="0" w:type="dxa"/>
          </w:tblCellMar>
        </w:tblPrEx>
        <w:trPr>
          <w:cantSplit/>
          <w:trHeight w:val="228"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3</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报告机构行业类别</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报告机构所属行业的类别。</w:t>
            </w:r>
          </w:p>
        </w:tc>
      </w:tr>
      <w:tr>
        <w:tblPrEx>
          <w:tblCellMar>
            <w:top w:w="0" w:type="dxa"/>
            <w:left w:w="0" w:type="dxa"/>
            <w:bottom w:w="0" w:type="dxa"/>
            <w:right w:w="0" w:type="dxa"/>
          </w:tblCellMar>
        </w:tblPrEx>
        <w:trPr>
          <w:cantSplit/>
          <w:trHeight w:val="864" w:hRule="atLeast"/>
          <w:jc w:val="center"/>
        </w:trPr>
        <w:tc>
          <w:tcPr>
            <w:tcW w:w="1089" w:type="dxa"/>
            <w:vMerge w:val="restart"/>
            <w:tcBorders>
              <w:top w:val="single" w:color="000000" w:sz="2" w:space="0"/>
              <w:left w:val="single" w:color="000000" w:sz="2" w:space="0"/>
              <w:bottom w:val="single" w:color="000000" w:sz="2"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第二部分：可疑主体信息</w:t>
            </w: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4</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可疑主体姓名或名称</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被报告为可疑主体的客户的名称或姓名全称，包括中文或外文。</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5</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可疑主体证件类型</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6</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可疑主体证件号码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按照国家反洗钱法律、法规和中国人民银行规章的有关规定，对客户进行身份识别时记载的有效身份证件或证明文件的号码。</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7</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可疑主体所在银行账号</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客户在银行开立的用于可疑交易资金收付的结算账户（或卡）号码。</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8</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可疑主体所在银行名称</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可疑主体用于可疑交易资金收付的结算账户的开户银行名称。</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9</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可疑主体职业（对私）或行业（对公）</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按照国家反洗钱法律、法规和中国人民银行规章的有关规定，对客户进行身份识别时记载的职业或主营业务类别。</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10</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可疑主体联系方式</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包括联系电话、常住（邮寄）地址和其他联系方式，不同联系方式之间用“，”分割。</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11</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可疑主体法定代表人姓名</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客户为法人时其有效证明文件载明的法定代表人姓名的全称。</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12</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可疑主体法定代表人身份证件类型</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按照国家反洗钱法律、法规和中国人民银行规章的有关规定，对法定代表人进行身份识别时记载的有效身份证件种类。</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13</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可疑主体法定代表人身份证件号码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与可疑主体法定代表人有效身份证件类型对应的证件号码。</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14</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可疑主体控股股东或实际控制人名称</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可疑主体控股股东或实际控制人的含义参见《中华人民共和国公司法》等法律法规内容。</w:t>
            </w:r>
          </w:p>
        </w:tc>
      </w:tr>
      <w:tr>
        <w:tblPrEx>
          <w:tblCellMar>
            <w:top w:w="0" w:type="dxa"/>
            <w:left w:w="0" w:type="dxa"/>
            <w:bottom w:w="0" w:type="dxa"/>
            <w:right w:w="0" w:type="dxa"/>
          </w:tblCellMar>
        </w:tblPrEx>
        <w:trPr>
          <w:cantSplit/>
          <w:trHeight w:val="864" w:hRule="atLeast"/>
          <w:jc w:val="center"/>
        </w:trPr>
        <w:tc>
          <w:tcPr>
            <w:tcW w:w="1089" w:type="dxa"/>
            <w:vMerge w:val="restart"/>
            <w:tcBorders>
              <w:top w:val="single" w:color="000000" w:sz="2" w:space="0"/>
              <w:left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15</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可疑主体控股股东或实际控制人身份证件或证明文件类型</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按照国家反洗钱法律、法规和中国人民银行规章的有关规定，对对公客户的控股股东进行身份识别时记载的有效身份证件或证明文件的种类。</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16</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可疑主体控股股东或实际控制人身份证件或证明文件号码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与可疑主体控股股东或实际控制人有效身份证件或证明文件类型相对应的证件号码。</w:t>
            </w:r>
          </w:p>
        </w:tc>
      </w:tr>
      <w:tr>
        <w:tblPrEx>
          <w:tblCellMar>
            <w:top w:w="0" w:type="dxa"/>
            <w:left w:w="0" w:type="dxa"/>
            <w:bottom w:w="0" w:type="dxa"/>
            <w:right w:w="0" w:type="dxa"/>
          </w:tblCellMar>
        </w:tblPrEx>
        <w:trPr>
          <w:cantSplit/>
          <w:trHeight w:val="228" w:hRule="atLeast"/>
          <w:jc w:val="center"/>
        </w:trPr>
        <w:tc>
          <w:tcPr>
            <w:tcW w:w="1089" w:type="dxa"/>
            <w:vMerge w:val="continue"/>
            <w:tcBorders>
              <w:top w:val="single" w:color="000000" w:sz="2" w:space="0"/>
              <w:left w:val="single" w:color="000000" w:sz="2" w:space="0"/>
              <w:bottom w:val="single" w:color="000000" w:sz="2"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17</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可疑主体国籍</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客户的有效身份证件或证明文件中记载的国籍或注册地所属国。</w:t>
            </w:r>
          </w:p>
        </w:tc>
      </w:tr>
      <w:tr>
        <w:tblPrEx>
          <w:tblCellMar>
            <w:top w:w="0" w:type="dxa"/>
            <w:left w:w="0" w:type="dxa"/>
            <w:bottom w:w="0" w:type="dxa"/>
            <w:right w:w="0" w:type="dxa"/>
          </w:tblCellMar>
        </w:tblPrEx>
        <w:trPr>
          <w:cantSplit/>
          <w:trHeight w:val="864" w:hRule="atLeast"/>
          <w:jc w:val="center"/>
        </w:trPr>
        <w:tc>
          <w:tcPr>
            <w:tcW w:w="1089" w:type="dxa"/>
            <w:vMerge w:val="restart"/>
            <w:tcBorders>
              <w:top w:val="single" w:color="000000" w:sz="2" w:space="0"/>
              <w:left w:val="single" w:color="000000" w:sz="2" w:space="0"/>
              <w:bottom w:val="single" w:color="000000" w:sz="4" w:space="0"/>
              <w:right w:val="single" w:color="000000"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第三部分：报告基本信息</w:t>
            </w: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18</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报告紧急程度</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经报告机构反洗钱工作主管部门负责人审批同意，需中国反洗钱监测分析中心收到报告后立即处理的，为特别紧急可疑交易报告。</w:t>
            </w:r>
          </w:p>
        </w:tc>
      </w:tr>
      <w:tr>
        <w:tblPrEx>
          <w:tblCellMar>
            <w:top w:w="0" w:type="dxa"/>
            <w:left w:w="0" w:type="dxa"/>
            <w:bottom w:w="0" w:type="dxa"/>
            <w:right w:w="0" w:type="dxa"/>
          </w:tblCellMar>
        </w:tblPrEx>
        <w:trPr>
          <w:cantSplit/>
          <w:trHeight w:val="1152"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19</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报送次数标志</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对之前已报送的可疑交易报告中部分或全部可疑主体，补充关于相同涉罪类型的可疑交易或行为信息称为追加报告，否则称为初次报告。该字段描述用于区分追加报告还是初次报告。</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20</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报送方向</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报告机构发现可疑主体及其交易行为后按照相关法规要求采取的针对措施。</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21</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可疑交易报告触发点</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触发报送可疑交易报告的原因。</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22</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资金交易及客户行为情况</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包括但不限于账户开立情况，交易发生时间、地点、金额、支付方式，资金流向及客户其他异常行为等可疑主体异常情况的信息。</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23</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疑点分析</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详细总结分析账户开立、资金交易、行为背景、客户收入和交易一致性、公开信息等各方面的疑点，以支持对涉罪类型的判断。</w:t>
            </w:r>
          </w:p>
        </w:tc>
      </w:tr>
      <w:tr>
        <w:tblPrEx>
          <w:tblCellMar>
            <w:top w:w="0" w:type="dxa"/>
            <w:left w:w="0" w:type="dxa"/>
            <w:bottom w:w="0" w:type="dxa"/>
            <w:right w:w="0" w:type="dxa"/>
          </w:tblCellMar>
        </w:tblPrEx>
        <w:trPr>
          <w:cantSplit/>
          <w:trHeight w:val="228"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24</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疑似涉罪类型</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可疑主体可能涉嫌的犯罪类型。</w:t>
            </w:r>
          </w:p>
        </w:tc>
      </w:tr>
      <w:tr>
        <w:tblPrEx>
          <w:tblCellMar>
            <w:top w:w="0" w:type="dxa"/>
            <w:left w:w="0" w:type="dxa"/>
            <w:bottom w:w="0" w:type="dxa"/>
            <w:right w:w="0" w:type="dxa"/>
          </w:tblCellMar>
        </w:tblPrEx>
        <w:trPr>
          <w:cantSplit/>
          <w:trHeight w:val="864"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25</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可疑交易特征代码</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可疑交易报告所符合的报告机构自主定义的可疑交易监测标准代码，报告机构应事先报备中国反洗钱监测分析中心。</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26</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可疑交易或事件起始日期</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可疑交易或事件起始日期。</w:t>
            </w:r>
          </w:p>
        </w:tc>
      </w:tr>
      <w:tr>
        <w:tblPrEx>
          <w:tblCellMar>
            <w:top w:w="0" w:type="dxa"/>
            <w:left w:w="0" w:type="dxa"/>
            <w:bottom w:w="0" w:type="dxa"/>
            <w:right w:w="0" w:type="dxa"/>
          </w:tblCellMar>
        </w:tblPrEx>
        <w:trPr>
          <w:cantSplit/>
          <w:trHeight w:val="576"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27</w:t>
            </w:r>
          </w:p>
        </w:tc>
        <w:tc>
          <w:tcPr>
            <w:tcW w:w="1679"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可疑交易或事件结束日期</w:t>
            </w:r>
          </w:p>
        </w:tc>
        <w:tc>
          <w:tcPr>
            <w:tcW w:w="5354" w:type="dxa"/>
            <w:tcBorders>
              <w:top w:val="single" w:color="000000" w:sz="2" w:space="0"/>
              <w:left w:val="single" w:color="000000" w:sz="2" w:space="0"/>
              <w:bottom w:val="single" w:color="000000" w:sz="2"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可疑交易或事件结束日期。</w:t>
            </w:r>
          </w:p>
        </w:tc>
      </w:tr>
      <w:tr>
        <w:tblPrEx>
          <w:tblCellMar>
            <w:top w:w="0" w:type="dxa"/>
            <w:left w:w="0" w:type="dxa"/>
            <w:bottom w:w="0" w:type="dxa"/>
            <w:right w:w="0" w:type="dxa"/>
          </w:tblCellMar>
        </w:tblPrEx>
        <w:trPr>
          <w:cantSplit/>
          <w:trHeight w:val="228"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000000" w:sz="2"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28</w:t>
            </w:r>
          </w:p>
        </w:tc>
        <w:tc>
          <w:tcPr>
            <w:tcW w:w="1679"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交易信息备注1</w:t>
            </w:r>
          </w:p>
        </w:tc>
        <w:tc>
          <w:tcPr>
            <w:tcW w:w="5354" w:type="dxa"/>
            <w:tcBorders>
              <w:top w:val="single" w:color="000000" w:sz="2" w:space="0"/>
              <w:left w:val="single" w:color="000000" w:sz="2" w:space="0"/>
              <w:bottom w:val="single" w:color="auto" w:sz="4" w:space="0"/>
              <w:right w:val="single" w:color="000000" w:sz="2"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r>
        <w:tblPrEx>
          <w:tblCellMar>
            <w:top w:w="0" w:type="dxa"/>
            <w:left w:w="0" w:type="dxa"/>
            <w:bottom w:w="0" w:type="dxa"/>
            <w:right w:w="0" w:type="dxa"/>
          </w:tblCellMar>
        </w:tblPrEx>
        <w:trPr>
          <w:cantSplit/>
          <w:trHeight w:val="228" w:hRule="atLeast"/>
          <w:jc w:val="center"/>
        </w:trPr>
        <w:tc>
          <w:tcPr>
            <w:tcW w:w="1089" w:type="dxa"/>
            <w:vMerge w:val="continue"/>
            <w:tcBorders>
              <w:top w:val="single" w:color="000000" w:sz="2" w:space="0"/>
              <w:left w:val="single" w:color="000000" w:sz="2" w:space="0"/>
              <w:bottom w:val="single" w:color="000000" w:sz="4" w:space="0"/>
              <w:right w:val="single" w:color="000000" w:sz="4" w:space="0"/>
            </w:tcBorders>
            <w:vAlign w:val="center"/>
          </w:tcPr>
          <w:p>
            <w:pPr>
              <w:spacing w:after="160" w:line="276" w:lineRule="auto"/>
              <w:rPr>
                <w:rFonts w:hint="eastAsia" w:ascii="仿宋" w:hAnsi="仿宋" w:eastAsia="仿宋" w:cs="仿宋"/>
                <w:szCs w:val="21"/>
              </w:rPr>
            </w:pPr>
          </w:p>
        </w:tc>
        <w:tc>
          <w:tcPr>
            <w:tcW w:w="564" w:type="dxa"/>
            <w:tcBorders>
              <w:top w:val="single" w:color="000000" w:sz="2" w:space="0"/>
              <w:bottom w:val="single" w:color="000000" w:sz="2" w:space="0"/>
              <w:right w:val="single" w:color="auto" w:sz="4" w:space="0"/>
            </w:tcBorders>
            <w:vAlign w:val="center"/>
          </w:tcPr>
          <w:p>
            <w:pPr>
              <w:autoSpaceDN w:val="0"/>
              <w:spacing w:after="160" w:line="276" w:lineRule="auto"/>
              <w:jc w:val="center"/>
              <w:textAlignment w:val="center"/>
              <w:rPr>
                <w:rFonts w:hint="eastAsia" w:ascii="仿宋" w:hAnsi="仿宋" w:eastAsia="仿宋" w:cs="仿宋"/>
                <w:szCs w:val="21"/>
              </w:rPr>
            </w:pPr>
            <w:r>
              <w:rPr>
                <w:rFonts w:hint="eastAsia" w:ascii="仿宋" w:hAnsi="仿宋" w:eastAsia="仿宋" w:cs="仿宋"/>
                <w:szCs w:val="21"/>
              </w:rPr>
              <w:t>29</w:t>
            </w:r>
          </w:p>
        </w:tc>
        <w:tc>
          <w:tcPr>
            <w:tcW w:w="1679" w:type="dxa"/>
            <w:tcBorders>
              <w:top w:val="single" w:color="auto" w:sz="4" w:space="0"/>
              <w:left w:val="single" w:color="auto" w:sz="4" w:space="0"/>
              <w:bottom w:val="single" w:color="auto" w:sz="4" w:space="0"/>
              <w:right w:val="single" w:color="auto"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交易信息备注2</w:t>
            </w:r>
          </w:p>
        </w:tc>
        <w:tc>
          <w:tcPr>
            <w:tcW w:w="5354" w:type="dxa"/>
            <w:tcBorders>
              <w:top w:val="single" w:color="auto" w:sz="4" w:space="0"/>
              <w:left w:val="single" w:color="auto" w:sz="4" w:space="0"/>
              <w:bottom w:val="single" w:color="auto" w:sz="4" w:space="0"/>
              <w:right w:val="single" w:color="auto" w:sz="4" w:space="0"/>
            </w:tcBorders>
            <w:vAlign w:val="center"/>
          </w:tcPr>
          <w:p>
            <w:pPr>
              <w:autoSpaceDN w:val="0"/>
              <w:spacing w:after="160" w:line="276" w:lineRule="auto"/>
              <w:jc w:val="left"/>
              <w:textAlignment w:val="center"/>
              <w:rPr>
                <w:rFonts w:hint="eastAsia" w:ascii="仿宋" w:hAnsi="仿宋" w:eastAsia="仿宋" w:cs="仿宋"/>
                <w:szCs w:val="21"/>
              </w:rPr>
            </w:pPr>
            <w:r>
              <w:rPr>
                <w:rFonts w:hint="eastAsia" w:ascii="仿宋" w:hAnsi="仿宋" w:eastAsia="仿宋" w:cs="仿宋"/>
                <w:szCs w:val="21"/>
              </w:rPr>
              <w:t>备用字段。</w:t>
            </w:r>
          </w:p>
        </w:tc>
      </w:tr>
    </w:tbl>
    <w:p>
      <w:pPr>
        <w:widowControl/>
        <w:jc w:val="left"/>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附件6.</w:t>
      </w:r>
    </w:p>
    <w:p>
      <w:pPr>
        <w:adjustRightInd w:val="0"/>
        <w:snapToGrid w:val="0"/>
        <w:spacing w:line="312" w:lineRule="auto"/>
        <w:ind w:firstLine="420" w:firstLineChars="200"/>
        <w:jc w:val="center"/>
        <w:rPr>
          <w:rFonts w:hint="eastAsia" w:ascii="仿宋" w:hAnsi="仿宋" w:eastAsia="仿宋" w:cs="仿宋"/>
          <w:szCs w:val="21"/>
        </w:rPr>
      </w:pPr>
      <w:r>
        <w:rPr>
          <w:rFonts w:hint="eastAsia" w:ascii="仿宋" w:hAnsi="仿宋" w:eastAsia="仿宋" w:cs="仿宋"/>
        </w:rPr>
        <w:t>全国性法人金融机构名单</w:t>
      </w:r>
    </w:p>
    <w:tbl>
      <w:tblPr>
        <w:tblStyle w:val="2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89"/>
        <w:gridCol w:w="7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autoSpaceDN w:val="0"/>
              <w:spacing w:after="160" w:line="276" w:lineRule="auto"/>
              <w:ind w:firstLine="422"/>
              <w:jc w:val="center"/>
              <w:textAlignment w:val="center"/>
              <w:rPr>
                <w:rFonts w:hint="eastAsia" w:ascii="仿宋" w:hAnsi="仿宋" w:eastAsia="仿宋" w:cs="仿宋"/>
                <w:b/>
                <w:bCs/>
                <w:szCs w:val="21"/>
              </w:rPr>
            </w:pPr>
            <w:r>
              <w:rPr>
                <w:rFonts w:hint="eastAsia" w:ascii="仿宋" w:hAnsi="仿宋" w:eastAsia="仿宋" w:cs="仿宋"/>
                <w:b/>
                <w:bCs/>
                <w:szCs w:val="21"/>
              </w:rPr>
              <w:t>序号</w:t>
            </w:r>
          </w:p>
        </w:tc>
        <w:tc>
          <w:tcPr>
            <w:tcW w:w="7033" w:type="dxa"/>
            <w:vAlign w:val="center"/>
          </w:tcPr>
          <w:p>
            <w:pPr>
              <w:autoSpaceDN w:val="0"/>
              <w:spacing w:after="160" w:line="276" w:lineRule="auto"/>
              <w:ind w:firstLine="422"/>
              <w:jc w:val="center"/>
              <w:textAlignment w:val="center"/>
              <w:rPr>
                <w:rFonts w:hint="eastAsia" w:ascii="仿宋" w:hAnsi="仿宋" w:eastAsia="仿宋" w:cs="仿宋"/>
                <w:b/>
                <w:bCs/>
                <w:szCs w:val="21"/>
              </w:rPr>
            </w:pPr>
            <w:r>
              <w:rPr>
                <w:rFonts w:hint="eastAsia" w:ascii="仿宋" w:hAnsi="仿宋" w:eastAsia="仿宋" w:cs="仿宋"/>
                <w:b/>
                <w:bCs/>
                <w:szCs w:val="21"/>
              </w:rPr>
              <w:t>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国家开发银行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中国进出口银行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中国农业发展银行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中国工商银行股份有限公司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中国农业银行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中国建设银行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交通银行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招商银行股份有限公司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中国光大银行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华夏银行股份有限公司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广发银行股份有限公司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平安银行股份有限公司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上海浦东发展银行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兴业银行股份有限公司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中国民生银行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中国邮政储蓄银行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中信证券股份有限公司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中国银河证券股份有限公司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中国人寿保险股份有限公司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中国人民财产保险股份有限公司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中国银联股份有限公司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89" w:type="dxa"/>
            <w:vAlign w:val="center"/>
          </w:tcPr>
          <w:p>
            <w:pPr>
              <w:numPr>
                <w:ilvl w:val="0"/>
                <w:numId w:val="1"/>
              </w:numPr>
              <w:spacing w:after="160" w:line="360" w:lineRule="auto"/>
              <w:ind w:firstLine="422"/>
              <w:jc w:val="center"/>
              <w:rPr>
                <w:rFonts w:hint="eastAsia" w:ascii="仿宋" w:hAnsi="仿宋" w:eastAsia="仿宋" w:cs="仿宋"/>
                <w:szCs w:val="21"/>
              </w:rPr>
            </w:pPr>
          </w:p>
        </w:tc>
        <w:tc>
          <w:tcPr>
            <w:tcW w:w="7033" w:type="dxa"/>
            <w:vAlign w:val="center"/>
          </w:tcPr>
          <w:p>
            <w:pPr>
              <w:spacing w:after="160" w:line="360" w:lineRule="auto"/>
              <w:rPr>
                <w:rFonts w:hint="eastAsia" w:ascii="仿宋" w:hAnsi="仿宋" w:eastAsia="仿宋" w:cs="仿宋"/>
                <w:szCs w:val="21"/>
              </w:rPr>
            </w:pPr>
            <w:r>
              <w:rPr>
                <w:rFonts w:hint="eastAsia" w:ascii="仿宋" w:hAnsi="仿宋" w:eastAsia="仿宋" w:cs="仿宋"/>
                <w:szCs w:val="21"/>
              </w:rPr>
              <w:t>银联国际有限公司</w:t>
            </w:r>
          </w:p>
        </w:tc>
      </w:tr>
    </w:tbl>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