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color w:val="000000" w:themeColor="text1"/>
          <w14:textFill>
            <w14:solidFill>
              <w14:schemeClr w14:val="tx1"/>
            </w14:solidFill>
          </w14:textFill>
        </w:rPr>
      </w:pPr>
      <w:bookmarkStart w:id="1063" w:name="_Toc5048914"/>
      <w:bookmarkStart w:id="1064" w:name="_Toc27436"/>
      <w:r>
        <w:rPr>
          <w:rFonts w:hint="eastAsia"/>
          <w:color w:val="000000" w:themeColor="text1"/>
          <w14:textFill>
            <w14:solidFill>
              <w14:schemeClr w14:val="tx1"/>
            </w14:solidFill>
          </w14:textFill>
        </w:rPr>
        <w:t>414--</w:t>
      </w:r>
      <w:r>
        <w:rPr>
          <w:rFonts w:hint="eastAsia"/>
        </w:rPr>
        <w:t>金融机构大额交易和可疑交易报告管理办法（2016修订）</w:t>
      </w:r>
      <w:r>
        <w:rPr>
          <w:rFonts w:hint="eastAsia"/>
        </w:rPr>
        <w:br w:type="textWrapping"/>
      </w:r>
      <w:r>
        <w:rPr>
          <w:rFonts w:hint="eastAsia"/>
        </w:rPr>
        <w:t>（中国人民银行令〔2016〕第3号）</w:t>
      </w:r>
      <w:bookmarkEnd w:id="1063"/>
      <w:bookmarkEnd w:id="1064"/>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中华人民共和国反洗钱法》、《中华人民共和国中国人民银行法》、《中华人民共和国反恐怖主义法》等法律规定，中国人民银行对《金融机构大额交易和可疑交易报告管理办法》（中国人民银行令〔2006〕第2号发布）进行了修订，经2016年12月9日第9次行长办公会议通过，现予发布，自2017年7月1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　长</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2016年12月28日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金融机构大额交易和可疑交易报告管理办法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第一章总则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为了规范金融机构大额交易和可疑交易报告行为，根据《中华人民共和国反洗钱法》、《中华人民共和国中国人民银行法》、《中华人民共和国反恐怖主义法》等有关法律法规，制定本办法。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本办法适用于在中华人民共和国境内依法设立的下列金融机构：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（一）政策性银行、商业银行、农村合作银行、农村信用社、村镇银行。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（二）证券公司、期货公司、基金管理公司。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（三）保险公司、保险资产管理公司、保险专业代理公司、保险经纪公司。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（四）信托公司、金融资产管理公司、企业集团财务公司、金融租赁公司、汽车金融公司、消费金融公司、货币经纪公司、贷款公司。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（五）中国人民银行确定并公布的应当履行反洗钱义务的从事金融业务的其他机构。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金融机构应当履行大额交易和可疑交易报告义务，向中国反洗钱监测分析中心报送大额交易和可疑交易报告，接受中国人民银行及其分支机构的监督、检查。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金融机构应当通过其总部或者总部指定的一个机构，按本办法规定的路径和方式提交大额交易和可疑交易报告。</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第二章大额交易报告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金融机构应当报告下列大额交易：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（一）当日单笔或者累计交易人民币5万元以上（含5万元）、外币等值1万美元以上（含1万美元）的现金缴存、现金支取、现金结售汇、现钞兑换、现金汇款、现金票据解付及其他形式的现金收支。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（二）非自然人客户银行账户与其他的银行账户发生当日单笔或者累计交易人民币200万元以上（含200万元）、外币等值20万美元以上（含20万美元）的款项划转。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（三）自然人客户银行账户与其他的银行账户发生当日单笔或者累计交易人民币50万元以上（含50万元）、外币等值10万美元以上（含10万美元）的境内款项划转。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（四）自然人客户银行账户与其他的银行账户发生当日单笔或者累计交易人民币20万元以上（含20万元）、外币等值1万美元以上（含1万美元）的跨境款项划转。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累计交易金额以客户为单位，按资金收入或者支出单边累计计算并报告。中国人民银行另有规定的除外。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中国人民银行根据需要可以调整本条第一款规定的大额交易报告标准。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对同时符合两项以上大额交易标准的交易，金融机构应当分别提交大额交易报告。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对符合下列条件之一的大额交易，如未发现交易或行为可疑的，金融机构可以不报告：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（一）定期存款到期后，不直接提取或者划转，而是本金或者本金加全部或者部分利息续存入在同一金融机构开立的同一户名下的另一账户。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活期存款的本金或者本金加全部或者部分利息转为在同一金融机构开立的同一户名下的另一账户内的定期存款。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定期存款的本金或者本金加全部或者部分利息转为在同一金融机构开立的同一户名下的另一账户内的活期存款。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（二）自然人实盘外汇买卖交易过程中不同外币币种间的转换。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（三）交易一方为各级党的机关、国家权力机关、行政机关、司法机关、军事机关、人民政协机关和人民解放军、武警部队，但不包含其下属的各类企事业单位。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（四）金融机构同业拆借、在银行间债券市场进行的债券交易。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（五）金融机构在黄金交易所进行的黄金交易。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（六）金融机构内部调拨资金。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（七）国际金融组织和外国政府贷款转贷业务项下的交易。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（八）国际金融组织和外国政府贷款项下的债务掉期交易。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（九）政策性银行、商业银行、农村合作银行、农村信用社、村镇银行办理的税收、错账冲正、利息支付。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（十）中国人民银行确定的其他情形。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金融机构应当在大额交易发生之日起5个工作日内以电子方式提交大额交易报告。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下列金融机构与客户进行金融交易并通过银行账户划转款项的，由银行机构按照本办法规定提交大额交易报告：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（一）证券公司、期货公司、基金管理公司。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（二）保险公司、保险资产管理公司、保险专业代理公司、保险经纪公司。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（三）信托公司、金融资产管理公司、企业集团财务公司、金融租赁公司、汽车金融公司、消费金融公司、货币经纪公司、贷款公司。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客户通过在境内金融机构开立的账户或者境内银行卡所发生的大额交易，由开立账户的金融机构或者发卡银行报告；客户通过境外银行卡所发生的大额交易，由收单机构报告；客户不通过账户或者银行卡发生的大额交易，由办理业务的金融机构报告。</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第三章可疑交易报告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金融机构发现或者有合理理由怀疑客户、客户的资金或者其他资产、客户的交易或者试图进行的交易与洗钱、恐怖融资等犯罪活动相关的，不论所涉资金金额或者资产价值大小，应当提交可疑交易报告。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金融机构应当制定本机构的交易监测标准，并对其有效性负责。交易监测标准包括并不限于客户的身份、行为，交易的资金来源、金额、频率、流向、性质等存在异常的情形，并应当参考以下因素：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（一）中国人民银行及其分支机构发布的反洗钱、反恐怖融资规定及指引、风险提示、洗钱类型分析报告和风险评估报告。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（二）公安机关、司法机关发布的犯罪形势分析、风险提示、犯罪类型报告和工作报告。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（三）本机构的资产规模、地域分布、业务特点、客户群体、交易特征，洗钱和恐怖融资风险评估结论。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（四）中国人民银行及其分支机构出具的反洗钱监管意见。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（五）中国人民银行要求关注的其他因素。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金融机构应当定期对交易监测标准进行评估，并根据评估结果完善交易监测标准。如发生突发情况或者应当关注的情况的，金融机构应当及时评估和完善交易监测标准。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金融机构应当对通过交易监测标准筛选出的交易进行人工分析、识别，并记录分析过程；不作为可疑交易报告的，应当记录分析排除的合理理由；确认为可疑交易的，应当在可疑交易报告理由中完整记录对客户身份特征、交易特征或行为特征的分析过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金融机构应当在按本机构可疑交易报告内部操作规程确认为可疑交易后，及时以电子方式提交可疑交易报告，最迟不超过5个工作日。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既属于大额交易又属于可疑交易的交易，金融机构应当分别提交大额交易报告和可疑交易报告。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可疑交易符合下列情形之一的，金融机构应当在向中国反洗钱监测分析中心提交可疑交易报告的同时，以电子形式或书面形式向所在地中国人民银行或者其分支机构报告，并配合反洗钱调查：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（一）明显涉嫌洗钱、恐怖融资等犯罪活动的。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（二）严重危害国家安全或者影响社会稳定的。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（三）其他情节严重或者情况紧急的情形。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金融机构应当对下列恐怖活动组织及恐怖活动人员名单开展实时监测，有合理理由怀疑客户或者其交易对手、资金或者其他资产与名单相关的，应当在立即向中国反洗钱监测分析中心提交可疑交易报告的同时，以电子形式或书面形式向所在地中国人民银行或者其分支机构报告，并按照相关主管部门的要求依法采取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（一）中国政府发布的或者要求执行的恐怖活动组织及恐怖活动人员名单。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（二）联合国安理会决议中所列的恐怖活动组织及恐怖活动人员名单。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（三）中国人民银行要求关注的其他涉嫌恐怖活动的组织及人员名单。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恐怖活动组织及恐怖活动人员名单调整的，金融机构应当立即开展回溯性调查，并按前款规定提交可疑交易报告。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法律、行政法规、规章对上述名单的监控另有规定的，从其规定。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第四章内部管理措施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金融机构应当根据本办法制定大额交易和可疑交易报告内部管理制度和操作规程，对本机构的大额交易和可疑交易报告工作做出统一要求，并对分支机构、附属机构大额交易和可疑交易报告制度的执行情况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金融机构应当将大额交易和可疑交易报告制度向中国人民银行或其总部所在地的中国人民银行分支机构报备。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金融机构应当设立专职的反洗钱岗位，配备专职人员负责大额交易和可疑交易报告工作，并提供必要的资源保障和信息支持。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金融机构应当建立健全大额交易和可疑交易监测系统，以客户为基本单位开展资金交易的监测分析，全面、完整、准确地采集各业务系统的客户身份信息和交易信息，保障大额交易和可疑交易监测分析的数据需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金融机构应当按照完整准确、安全保密的原则，将大额交易和可疑交易报告、反映交易分析和内部处理情况的工作记录等资料自生成之日起至少保存5年。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保存的信息资料涉及正在被反洗钱调查的可疑交易活动，且反洗钱调查工作在前款规定的最低保存期届满时仍未结束的，金融机构应将其保存至反洗钱调查工作结束。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金融机构及其工作人员应当对依法履行大额交易和可疑交易报告义务获得的客户身份资料和交易信息，对依法监测、分析、报告可疑交易的有关情况予以保密，不得违反规定向任何单位和个人提供。</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第五章法律责任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金融机构违反本办法的，由中国人民银行或者其地市中心支行以上分支机构按照《中华人民共和国反洗钱法》</w:t>
      </w:r>
      <w:r>
        <w:rPr>
          <w:rFonts w:hint="eastAsia" w:ascii="仿宋" w:hAnsi="仿宋" w:eastAsia="仿宋" w:cs="仿宋"/>
          <w:b/>
        </w:rPr>
        <w:t>第三十一条</w:t>
      </w:r>
      <w:r>
        <w:rPr>
          <w:rFonts w:hint="eastAsia" w:ascii="仿宋" w:hAnsi="仿宋" w:eastAsia="仿宋" w:cs="仿宋"/>
        </w:rPr>
        <w:t>、</w:t>
      </w:r>
      <w:r>
        <w:rPr>
          <w:rFonts w:hint="eastAsia" w:ascii="仿宋" w:hAnsi="仿宋" w:eastAsia="仿宋" w:cs="仿宋"/>
          <w:b/>
        </w:rPr>
        <w:t>第三十二条</w:t>
      </w:r>
      <w:r>
        <w:rPr>
          <w:rFonts w:hint="eastAsia" w:ascii="仿宋" w:hAnsi="仿宋" w:eastAsia="仿宋" w:cs="仿宋"/>
        </w:rPr>
        <w:t>的规定予以处罚。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　第六章附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非银行支付机构、从事汇兑业务和基金销售业务的机构报告大额交易和可疑交易适用本办法。银行卡清算机构、资金清算中心等从事清算业务的机构应当按照中国人民银行有关规定开展交易监测分析、报告工作。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本办法所称非银行支付机构，是指根据《非金融机构支付服务管理办法》（中国人民银行令〔2010〕第2号发布）规定取得《支付业务许可证》的支付机构。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本办法所称资金清算中心，包括城市商业银行资金清算中心、农信银资金清算中心有限责任公司及中国人民银行确定的其他资金清算中心。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本办法所称非自然人，包括法人、其他组织和个体工商户。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金融机构应当按照本办法所附的大额交易和可疑交易报告要素要求（要素内容见附件），制作大额交易报告和可疑交易报告的电子文件。具体的报告格式和填报要求由中国人民银行另行规定。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中国反洗钱监测分析中心发现金融机构报送的大额交易报告或者可疑交易报告内容要素不全或者存在错误的，可以向提交报告的金融机构发出补正通知，金融机构应当在接到补正通知之日起5个工作日内补正。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本办法自2017年7月1日起施行。中国人民银行2006年11月14日发布的《金融机构大额交易和可疑交易报告管理办法》（中国人民银行令〔2006〕第2号）和2007年6月11日发布的《金融机构报告涉嫌恐怖融资的可疑交易管理办法》（中国人民银行令〔2007〕第1号）同时废止。中国人民银行此前发布的大额交易和可疑交易报告的其他规定，与本办法不一致的，以本办法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附：金融机构大额交易和可疑交易报告要素内容</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p>
    <w:tbl>
      <w:tblPr>
        <w:tblStyle w:val="27"/>
        <w:tblW w:w="9436" w:type="dxa"/>
        <w:tblInd w:w="108" w:type="dxa"/>
        <w:tblLayout w:type="fixed"/>
        <w:tblCellMar>
          <w:top w:w="0" w:type="dxa"/>
          <w:left w:w="108" w:type="dxa"/>
          <w:bottom w:w="0" w:type="dxa"/>
          <w:right w:w="108" w:type="dxa"/>
        </w:tblCellMar>
      </w:tblPr>
      <w:tblGrid>
        <w:gridCol w:w="564"/>
        <w:gridCol w:w="4154"/>
        <w:gridCol w:w="564"/>
        <w:gridCol w:w="4154"/>
      </w:tblGrid>
      <w:tr>
        <w:tblPrEx>
          <w:tblCellMar>
            <w:top w:w="0" w:type="dxa"/>
            <w:left w:w="108" w:type="dxa"/>
            <w:bottom w:w="0" w:type="dxa"/>
            <w:right w:w="108" w:type="dxa"/>
          </w:tblCellMar>
        </w:tblPrEx>
        <w:trPr>
          <w:trHeight w:val="615" w:hRule="atLeast"/>
        </w:trPr>
        <w:tc>
          <w:tcPr>
            <w:tcW w:w="9436" w:type="dxa"/>
            <w:gridSpan w:val="4"/>
            <w:tcBorders>
              <w:top w:val="nil"/>
              <w:left w:val="nil"/>
              <w:bottom w:val="nil"/>
              <w:right w:val="nil"/>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金融机构大额交易和可疑交易报告要素内容</w:t>
            </w:r>
          </w:p>
        </w:tc>
      </w:tr>
      <w:tr>
        <w:tblPrEx>
          <w:tblCellMar>
            <w:top w:w="0" w:type="dxa"/>
            <w:left w:w="108" w:type="dxa"/>
            <w:bottom w:w="0" w:type="dxa"/>
            <w:right w:w="108" w:type="dxa"/>
          </w:tblCellMar>
        </w:tblPrEx>
        <w:trPr>
          <w:trHeight w:val="375" w:hRule="atLeast"/>
        </w:trPr>
        <w:tc>
          <w:tcPr>
            <w:tcW w:w="9436" w:type="dxa"/>
            <w:gridSpan w:val="4"/>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228600</wp:posOffset>
                      </wp:positionV>
                      <wp:extent cx="9525" cy="9525"/>
                      <wp:effectExtent l="0" t="0" r="0" b="0"/>
                      <wp:wrapNone/>
                      <wp:docPr id="1025" name="直接连接符 1025"/>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31pt;margin-top:18pt;height:0.75pt;width:0.75pt;z-index:251663360;mso-width-relative:page;mso-height-relative:page;" filled="f" stroked="t" coordsize="21600,21600" o:gfxdata="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NIKEPYAAAACQEAAA8AAAAAAAAAAQAgAAAAIgAAAGRycy9kb3ducmV2&#10;LnhtbFBLAQIUABQAAAAIAIdO4kBtID9zwwEAAHgDAAAOAAAAAAAAAAEAIAAAACcBAABkcnMvZTJv&#10;RG9jLnhtbFBLBQYAAAAABgAGAFkBAABcBQAAAAA=&#10;">
                      <v:fill on="f" focussize="0,0"/>
                      <v:stroke color="#000000" joinstyle="round"/>
                      <v:imagedata o:title=""/>
                      <o:lock v:ext="edit" aspectratio="f"/>
                    </v:line>
                  </w:pict>
                </mc:Fallback>
              </mc:AlternateContent>
            </w:r>
            <w:r>
              <w:rPr>
                <w:rFonts w:hint="eastAsia" w:ascii="仿宋" w:hAnsi="仿宋" w:eastAsia="仿宋" w:cs="仿宋"/>
                <w:szCs w:val="21"/>
              </w:rPr>
              <mc:AlternateContent>
                <mc:Choice Requires="wps">
                  <w:drawing>
                    <wp:anchor distT="0" distB="0" distL="114300" distR="114300" simplePos="0" relativeHeight="251664384" behindDoc="0" locked="0" layoutInCell="1" allowOverlap="1">
                      <wp:simplePos x="0" y="0"/>
                      <wp:positionH relativeFrom="column">
                        <wp:posOffset>2933700</wp:posOffset>
                      </wp:positionH>
                      <wp:positionV relativeFrom="paragraph">
                        <wp:posOffset>228600</wp:posOffset>
                      </wp:positionV>
                      <wp:extent cx="9525" cy="9525"/>
                      <wp:effectExtent l="0" t="0" r="0" b="0"/>
                      <wp:wrapNone/>
                      <wp:docPr id="62" name="直接连接符 62"/>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31pt;margin-top:18pt;height:0.75pt;width:0.75pt;z-index:251664384;mso-width-relative:page;mso-height-relative:page;" filled="f" stroked="t" coordsize="21600,21600" o:gfxdata="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o0goQ9gAAAAJAQAADwAAAAAAAAABACAAAAAiAAAAZHJzL2Rvd25yZXYu&#10;eG1sUEsBAhQAFAAAAAgAh07iQH3Xu/XCAQAAdAMAAA4AAAAAAAAAAQAgAAAAJwEAAGRycy9lMm9E&#10;b2MueG1sUEsFBgAAAAAGAAYAWQEAAFsFAAAAAA==&#10;">
                      <v:fill on="f" focussize="0,0"/>
                      <v:stroke color="#000000" joinstyle="round"/>
                      <v:imagedata o:title=""/>
                      <o:lock v:ext="edit" aspectratio="f"/>
                    </v:line>
                  </w:pict>
                </mc:Fallback>
              </mc:AlternateContent>
            </w:r>
          </w:p>
          <w:tbl>
            <w:tblPr>
              <w:tblStyle w:val="27"/>
              <w:tblW w:w="9220" w:type="dxa"/>
              <w:tblCellSpacing w:w="0" w:type="dxa"/>
              <w:tblInd w:w="0" w:type="dxa"/>
              <w:tblLayout w:type="fixed"/>
              <w:tblCellMar>
                <w:top w:w="0" w:type="dxa"/>
                <w:left w:w="0" w:type="dxa"/>
                <w:bottom w:w="0" w:type="dxa"/>
                <w:right w:w="0" w:type="dxa"/>
              </w:tblCellMar>
            </w:tblPr>
            <w:tblGrid>
              <w:gridCol w:w="9220"/>
            </w:tblGrid>
            <w:tr>
              <w:tblPrEx>
                <w:tblCellMar>
                  <w:top w:w="0" w:type="dxa"/>
                  <w:left w:w="0" w:type="dxa"/>
                  <w:bottom w:w="0" w:type="dxa"/>
                  <w:right w:w="0" w:type="dxa"/>
                </w:tblCellMar>
              </w:tblPrEx>
              <w:trPr>
                <w:trHeight w:val="375" w:hRule="atLeast"/>
                <w:tblCellSpacing w:w="0" w:type="dxa"/>
              </w:trPr>
              <w:tc>
                <w:tcPr>
                  <w:tcW w:w="9220" w:type="dxa"/>
                  <w:tcBorders>
                    <w:top w:val="nil"/>
                    <w:left w:val="nil"/>
                    <w:bottom w:val="nil"/>
                    <w:right w:val="nil"/>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大额交易报告要素内容列表</w:t>
                  </w:r>
                </w:p>
              </w:tc>
            </w:tr>
          </w:tbl>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315" w:hRule="atLeast"/>
        </w:trPr>
        <w:tc>
          <w:tcPr>
            <w:tcW w:w="56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c>
          <w:tcPr>
            <w:tcW w:w="56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客户名称/姓名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客户国籍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代办人国籍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账户类型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账号</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交易日期</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业务标示号</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资金收付标志</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交易去向</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资金用途</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币种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交易金额</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对方金融机构名称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对方金融机构代码类型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对方金融机构代码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交易对手姓名/名称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交易对手身份证件/证明文件类型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交易对手身份证件/证明文件号码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交易对手账户类型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交易对手账号</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报告日期</w:t>
            </w: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315" w:hRule="atLeast"/>
        </w:trPr>
        <w:tc>
          <w:tcPr>
            <w:tcW w:w="9436" w:type="dxa"/>
            <w:gridSpan w:val="4"/>
            <w:tcBorders>
              <w:top w:val="nil"/>
              <w:left w:val="nil"/>
              <w:bottom w:val="nil"/>
              <w:right w:val="nil"/>
            </w:tcBorders>
            <w:shd w:val="clear" w:color="auto" w:fill="auto"/>
            <w:noWrap/>
            <w:vAlign w:val="bottom"/>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银行业金融机构可疑交易报告要素内容列表</w:t>
            </w:r>
          </w:p>
        </w:tc>
      </w:tr>
      <w:tr>
        <w:tblPrEx>
          <w:tblCellMar>
            <w:top w:w="0" w:type="dxa"/>
            <w:left w:w="108" w:type="dxa"/>
            <w:bottom w:w="0" w:type="dxa"/>
            <w:right w:w="108" w:type="dxa"/>
          </w:tblCellMar>
        </w:tblPrEx>
        <w:trPr>
          <w:trHeight w:val="315" w:hRule="atLeast"/>
        </w:trPr>
        <w:tc>
          <w:tcPr>
            <w:tcW w:w="56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c>
          <w:tcPr>
            <w:tcW w:w="56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客户名称/姓名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客户联系方式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客户国籍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代办人国籍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对私客户的职业</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对公客户的行业类别</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对公客户注册资金</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对公客户法定代表人姓名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对公客户法定代表人身份证件类型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对公客户法定代表人身份证件号码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账户类型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账号</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开户时间</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销户时间</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交易日期</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交易方式</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业务标示号</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资金收付标志</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资金来源和用途</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币种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交易金额</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对方金融机构名称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对方金融机构代码类型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对方金融机构代码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交易对手身份证件/证明文件类型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交易对手姓名/名称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交易对手账户类型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交易对手身份证件/证明文件号码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交易对手账号</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可疑交易特征描述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填报人</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报告日期</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　</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　</w:t>
            </w: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315" w:hRule="atLeast"/>
        </w:trPr>
        <w:tc>
          <w:tcPr>
            <w:tcW w:w="9436" w:type="dxa"/>
            <w:gridSpan w:val="4"/>
            <w:tcBorders>
              <w:top w:val="nil"/>
              <w:left w:val="nil"/>
              <w:bottom w:val="nil"/>
              <w:right w:val="nil"/>
            </w:tcBorders>
            <w:shd w:val="clear" w:color="auto" w:fill="auto"/>
            <w:noWrap/>
            <w:vAlign w:val="bottom"/>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证券期货业金融机构可疑交易报告要素内容列表</w:t>
            </w:r>
          </w:p>
        </w:tc>
      </w:tr>
      <w:tr>
        <w:tblPrEx>
          <w:tblCellMar>
            <w:top w:w="0" w:type="dxa"/>
            <w:left w:w="108" w:type="dxa"/>
            <w:bottom w:w="0" w:type="dxa"/>
            <w:right w:w="108" w:type="dxa"/>
          </w:tblCellMar>
        </w:tblPrEx>
        <w:trPr>
          <w:trHeight w:val="315" w:hRule="atLeast"/>
        </w:trPr>
        <w:tc>
          <w:tcPr>
            <w:tcW w:w="56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c>
          <w:tcPr>
            <w:tcW w:w="56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金融机构联系方式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客户名称/姓名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客户身份证件/证明文件类型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客户身份证件/证明文件号码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客户联系方式</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客户职业或行业</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代办人姓名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代办人身份证件/证明文件类型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代办人身份证件/证明文件号码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对公客户主要股东信息</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对公客户法定代表人姓名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对公客户法定代表人身份证件号码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对公客户法定代表人身份证件类型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18</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证券/基金/期货账户号码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19</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资金/结算账户号码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20</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资金/结算账户开户行名称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交易日期</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交易种类</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交易品种代码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业务标示号</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币种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交易金额</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27</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资金进出方向</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资金进出方式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经办人/交易指示人姓名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经办人/交易指示人身份证件类型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经办人/交易指示人身份证件号码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可疑交易特征描述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填报人</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报告日期</w:t>
            </w: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center"/>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56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56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c>
          <w:tcPr>
            <w:tcW w:w="4154" w:type="dxa"/>
            <w:tcBorders>
              <w:top w:val="nil"/>
              <w:left w:val="nil"/>
              <w:bottom w:val="nil"/>
              <w:right w:val="nil"/>
            </w:tcBorders>
            <w:shd w:val="clear" w:color="auto" w:fill="auto"/>
            <w:noWrap/>
            <w:vAlign w:val="bottom"/>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rPr>
          <w:trHeight w:val="285" w:hRule="atLeast"/>
        </w:trPr>
        <w:tc>
          <w:tcPr>
            <w:tcW w:w="9436" w:type="dxa"/>
            <w:gridSpan w:val="4"/>
            <w:tcBorders>
              <w:top w:val="nil"/>
              <w:left w:val="nil"/>
              <w:bottom w:val="nil"/>
              <w:right w:val="nil"/>
            </w:tcBorders>
            <w:shd w:val="clear" w:color="auto" w:fill="auto"/>
            <w:noWrap/>
            <w:vAlign w:val="bottom"/>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保险业金融机构可疑交易报告要素内容列表</w:t>
            </w:r>
          </w:p>
        </w:tc>
      </w:tr>
      <w:tr>
        <w:tblPrEx>
          <w:tblCellMar>
            <w:top w:w="0" w:type="dxa"/>
            <w:left w:w="108" w:type="dxa"/>
            <w:bottom w:w="0" w:type="dxa"/>
            <w:right w:w="108" w:type="dxa"/>
          </w:tblCellMar>
        </w:tblPrEx>
        <w:trPr>
          <w:trHeight w:val="315" w:hRule="atLeast"/>
        </w:trPr>
        <w:tc>
          <w:tcPr>
            <w:tcW w:w="56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c>
          <w:tcPr>
            <w:tcW w:w="56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编号</w:t>
            </w:r>
          </w:p>
        </w:tc>
        <w:tc>
          <w:tcPr>
            <w:tcW w:w="4154" w:type="dxa"/>
            <w:tcBorders>
              <w:top w:val="single" w:color="auto" w:sz="4" w:space="0"/>
              <w:left w:val="nil"/>
              <w:bottom w:val="single" w:color="auto" w:sz="4" w:space="0"/>
              <w:right w:val="single" w:color="auto" w:sz="4" w:space="0"/>
            </w:tcBorders>
            <w:shd w:val="clear" w:color="auto" w:fill="auto"/>
            <w:noWrap/>
            <w:vAlign w:val="center"/>
          </w:tcPr>
          <w:p>
            <w:pPr>
              <w:spacing w:after="160" w:line="276" w:lineRule="auto"/>
              <w:ind w:firstLine="422"/>
              <w:jc w:val="center"/>
              <w:rPr>
                <w:rFonts w:hint="eastAsia" w:ascii="仿宋" w:hAnsi="仿宋" w:eastAsia="仿宋" w:cs="仿宋"/>
                <w:b/>
                <w:bCs/>
                <w:szCs w:val="21"/>
              </w:rPr>
            </w:pPr>
            <w:r>
              <w:rPr>
                <w:rFonts w:hint="eastAsia" w:ascii="仿宋" w:hAnsi="仿宋" w:eastAsia="仿宋" w:cs="仿宋"/>
                <w:b/>
                <w:bCs/>
                <w:szCs w:val="21"/>
              </w:rPr>
              <w:t>要素名称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金融机构代码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金融机构联系方式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业务发生地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投保人名称/姓名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投保人身份证件/证明文件类型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投保人身份证件/证明文件号码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投保人类型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客户联系方式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客户职业或行业</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被保险人名称/姓名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被保险人身份证件/证明文件类型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被保险人身份证件/证明文件号码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投保人与被保险人关系</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受益人名称/姓名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受益人身份证件/证明文件类型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受益人身份证件/证明文件号码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19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对公客户主要股东信息</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21</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对公客户法定代表人身份证件号码</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对公客户法定代表人身份证件类型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23</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险种名称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24</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保险合同号</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25</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保险期间</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26</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保险内容概述</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交易日期</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交易类型</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29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币种</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交易金额</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31</w:t>
            </w:r>
          </w:p>
        </w:tc>
        <w:tc>
          <w:tcPr>
            <w:tcW w:w="4154" w:type="dxa"/>
            <w:tcBorders>
              <w:top w:val="nil"/>
              <w:left w:val="nil"/>
              <w:bottom w:val="single" w:color="auto" w:sz="4" w:space="0"/>
              <w:right w:val="single" w:color="auto" w:sz="4" w:space="0"/>
            </w:tcBorders>
            <w:shd w:val="clear" w:color="auto" w:fill="auto"/>
            <w:noWrap/>
            <w:vAlign w:val="bottom"/>
          </w:tcPr>
          <w:p>
            <w:pPr>
              <w:spacing w:after="160" w:line="276" w:lineRule="auto"/>
              <w:rPr>
                <w:rFonts w:hint="eastAsia" w:ascii="仿宋" w:hAnsi="仿宋" w:eastAsia="仿宋" w:cs="仿宋"/>
                <w:szCs w:val="21"/>
              </w:rPr>
            </w:pPr>
            <w:r>
              <w:rPr>
                <w:rFonts w:hint="eastAsia" w:ascii="仿宋" w:hAnsi="仿宋" w:eastAsia="仿宋" w:cs="仿宋"/>
                <w:szCs w:val="21"/>
              </w:rPr>
              <w:t>资金进出方向</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32</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资金进出方式</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33</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 xml:space="preserve">资金账户开户行 </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34</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银行转账资金账号</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35</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经办人/交易指示人身份证件类型</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36</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经办人/交易指示人姓名</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37</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可疑交易特征描述</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38</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经办人/交易指示人身份证件号码</w:t>
            </w:r>
          </w:p>
        </w:tc>
      </w:tr>
      <w:tr>
        <w:tblPrEx>
          <w:tblCellMar>
            <w:top w:w="0" w:type="dxa"/>
            <w:left w:w="108" w:type="dxa"/>
            <w:bottom w:w="0" w:type="dxa"/>
            <w:right w:w="108" w:type="dxa"/>
          </w:tblCellMar>
        </w:tblPrEx>
        <w:trPr>
          <w:trHeight w:val="285" w:hRule="atLeast"/>
        </w:trPr>
        <w:tc>
          <w:tcPr>
            <w:tcW w:w="564" w:type="dxa"/>
            <w:tcBorders>
              <w:top w:val="nil"/>
              <w:left w:val="single" w:color="auto" w:sz="4" w:space="0"/>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39</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报告日期</w:t>
            </w:r>
          </w:p>
        </w:tc>
        <w:tc>
          <w:tcPr>
            <w:tcW w:w="56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40</w:t>
            </w:r>
          </w:p>
        </w:tc>
        <w:tc>
          <w:tcPr>
            <w:tcW w:w="4154" w:type="dxa"/>
            <w:tcBorders>
              <w:top w:val="nil"/>
              <w:left w:val="nil"/>
              <w:bottom w:val="single" w:color="auto" w:sz="4" w:space="0"/>
              <w:right w:val="single" w:color="auto" w:sz="4" w:space="0"/>
            </w:tcBorders>
            <w:shd w:val="clear" w:color="auto" w:fill="auto"/>
            <w:noWrap/>
            <w:vAlign w:val="center"/>
          </w:tcPr>
          <w:p>
            <w:pPr>
              <w:spacing w:after="160" w:line="276" w:lineRule="auto"/>
              <w:rPr>
                <w:rFonts w:hint="eastAsia" w:ascii="仿宋" w:hAnsi="仿宋" w:eastAsia="仿宋" w:cs="仿宋"/>
                <w:szCs w:val="21"/>
              </w:rPr>
            </w:pPr>
            <w:r>
              <w:rPr>
                <w:rFonts w:hint="eastAsia" w:ascii="仿宋" w:hAnsi="仿宋" w:eastAsia="仿宋" w:cs="仿宋"/>
                <w:szCs w:val="21"/>
              </w:rPr>
              <w:t>填报人</w:t>
            </w:r>
          </w:p>
        </w:tc>
      </w:tr>
    </w:tbl>
    <w:p>
      <w:pPr>
        <w:adjustRightInd w:val="0"/>
        <w:snapToGrid w:val="0"/>
        <w:spacing w:line="312" w:lineRule="auto"/>
        <w:ind w:firstLine="420" w:firstLineChars="200"/>
        <w:rPr>
          <w:rFonts w:hint="eastAsia" w:ascii="仿宋" w:hAnsi="仿宋" w:eastAsia="仿宋" w:cs="仿宋"/>
          <w:szCs w:val="21"/>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