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1" w:name="_Toc5048528"/>
      <w:bookmarkStart w:id="172" w:name="_Toc17995"/>
      <w:r>
        <w:rPr>
          <w:rFonts w:hint="eastAsia"/>
        </w:rPr>
        <w:t>43--中国人民银行关于印发《人民币银行结算账户管理办法实施细则》的通知</w:t>
      </w:r>
      <w:r>
        <w:rPr>
          <w:rFonts w:hint="eastAsia"/>
        </w:rPr>
        <w:br w:type="textWrapping"/>
      </w:r>
      <w:r>
        <w:rPr>
          <w:rFonts w:hint="eastAsia"/>
        </w:rPr>
        <w:t>（银发〔2005〕16号）</w:t>
      </w:r>
      <w:bookmarkEnd w:id="171"/>
      <w:bookmarkEnd w:id="172"/>
    </w:p>
    <w:p>
      <w:pPr>
        <w:widowControl/>
        <w:shd w:val="clear" w:color="auto" w:fill="FFFFFF"/>
        <w:spacing w:line="312" w:lineRule="auto"/>
        <w:contextualSpacing/>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中国人民银行各分行、营业管理部、省会(首府)城市中心支行，各政策性银行、国有独资商业银行、股份制商业银行，国家邮政局邮政储汇局：</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现将《人民币银行结算账户管理办法实施细则》(以下简称《实施细则》)印发给你们，并就有关事项通知如下：</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国务院对确需保留的行政审批项目设定行政许可的决定》(国务院令[2004]412号)明确规定，“银行账户行政许可证核发”为人民银行职责范围内的行政许可项目。据此，《人民币银行结算账户管理办法》(以下简称《办法》)中所称“开户登记证”相应改为“开户许可证”。同时，《办法》第三十二条、第五十五条关于“银行撤销单位银行结算账户时应在其基本存款账户开户登记证上注明销户日期并签章”的规定以及第六十七条关于对该条第(二)项所列“开立或撤销单位银行结算账户，未按本办法规定在其基本存款账户开户登记证上予以登记、签章”的处罚规定不再适用。</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在已运行人民币银行结算账户管理系统(以下简称“账户管理系统”)的省(自治区、直辖市)使用《实施细则》规定的“开户许可证”；尚未运行账户管理系统的省(自治区、直辖市)，仍使用《中国人民银行关于实施〈人民币银行结算账户管理办法〉有关事项的通知》(银发[2003]163号)规定的“开户核准通知书”。</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请中国人民银行各分行、营业管理部、省会(首府)城市中心支行将本通知转发至所在省(自治区、直辖市)的城市商业银行、农村商业银行、农村合作银行、城乡信用社和外资银行，并做好本省(自治区、直辖市)的宣传和培训等工作，确保《办法》和《实施细则》的有效实施。</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实施中的情况和问题，请及时报告中国人民银行。</w:t>
      </w:r>
    </w:p>
    <w:p>
      <w:pPr>
        <w:widowControl/>
        <w:shd w:val="clear" w:color="auto" w:fill="FFFFFF"/>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hd w:val="clear" w:color="auto" w:fill="FFFFFF"/>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二00五年一月十九日</w:t>
      </w:r>
    </w:p>
    <w:p>
      <w:pPr>
        <w:widowControl/>
        <w:shd w:val="clear" w:color="auto" w:fill="FFFFFF"/>
        <w:spacing w:line="312" w:lineRule="auto"/>
        <w:ind w:firstLine="420" w:firstLineChars="200"/>
        <w:contextualSpacing/>
        <w:jc w:val="right"/>
        <w:rPr>
          <w:rFonts w:hint="eastAsia" w:ascii="仿宋" w:hAnsi="仿宋" w:eastAsia="仿宋" w:cs="仿宋"/>
          <w:kern w:val="0"/>
          <w:szCs w:val="21"/>
        </w:rPr>
      </w:pP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附件</w:t>
      </w:r>
    </w:p>
    <w:p>
      <w:pPr>
        <w:widowControl/>
        <w:shd w:val="clear" w:color="auto" w:fill="FFFFFF"/>
        <w:spacing w:line="312" w:lineRule="auto"/>
        <w:ind w:firstLine="422" w:firstLineChars="200"/>
        <w:contextualSpacing/>
        <w:jc w:val="center"/>
        <w:rPr>
          <w:rFonts w:hint="eastAsia" w:ascii="仿宋" w:hAnsi="仿宋" w:eastAsia="仿宋" w:cs="仿宋"/>
          <w:b/>
          <w:bCs/>
          <w:kern w:val="0"/>
          <w:szCs w:val="21"/>
        </w:rPr>
      </w:pPr>
      <w:r>
        <w:rPr>
          <w:rFonts w:hint="eastAsia" w:ascii="仿宋" w:hAnsi="仿宋" w:eastAsia="仿宋" w:cs="仿宋"/>
          <w:b/>
          <w:bCs/>
          <w:kern w:val="0"/>
          <w:szCs w:val="21"/>
        </w:rPr>
        <w:t>人民币银行结算账户管理办法实施细则</w:t>
      </w:r>
    </w:p>
    <w:p>
      <w:pPr>
        <w:widowControl/>
        <w:shd w:val="clear" w:color="auto" w:fill="FFFFFF"/>
        <w:spacing w:line="312" w:lineRule="auto"/>
        <w:ind w:firstLine="422" w:firstLineChars="200"/>
        <w:contextualSpacing/>
        <w:jc w:val="center"/>
        <w:rPr>
          <w:rFonts w:hint="eastAsia" w:ascii="仿宋" w:hAnsi="仿宋" w:eastAsia="仿宋" w:cs="仿宋"/>
          <w:b/>
          <w:bCs/>
          <w:kern w:val="0"/>
          <w:szCs w:val="21"/>
        </w:rPr>
      </w:pPr>
      <w:r>
        <w:rPr>
          <w:rFonts w:hint="eastAsia" w:ascii="仿宋" w:hAnsi="仿宋" w:eastAsia="仿宋" w:cs="仿宋"/>
          <w:b/>
          <w:bCs/>
          <w:kern w:val="0"/>
          <w:szCs w:val="21"/>
        </w:rPr>
        <w:t>　第一章　总则</w:t>
      </w:r>
    </w:p>
    <w:p>
      <w:pPr>
        <w:widowControl/>
        <w:shd w:val="clear" w:color="auto" w:fill="FFFFFF"/>
        <w:spacing w:line="312" w:lineRule="auto"/>
        <w:ind w:firstLine="422" w:firstLineChars="200"/>
        <w:contextualSpacing/>
        <w:jc w:val="left"/>
        <w:rPr>
          <w:rFonts w:hint="eastAsia" w:ascii="仿宋" w:hAnsi="仿宋" w:eastAsia="仿宋" w:cs="仿宋"/>
          <w:kern w:val="0"/>
          <w:szCs w:val="21"/>
        </w:rPr>
      </w:pPr>
      <w:r>
        <w:rPr>
          <w:rFonts w:hint="eastAsia" w:ascii="仿宋" w:hAnsi="仿宋" w:eastAsia="仿宋" w:cs="仿宋"/>
          <w:b/>
          <w:bCs/>
          <w:kern w:val="0"/>
          <w:szCs w:val="21"/>
        </w:rPr>
        <w:t>第一条</w:t>
      </w:r>
      <w:r>
        <w:rPr>
          <w:rFonts w:hint="eastAsia" w:ascii="仿宋" w:hAnsi="仿宋" w:eastAsia="仿宋" w:cs="仿宋"/>
          <w:kern w:val="0"/>
          <w:szCs w:val="21"/>
        </w:rPr>
        <w:t>　为加强人民币银行结算账户(以下简称“银行结算账户”)管理，维护经济金融秩序稳定，根据《人民币银行结算账户管理办法》(以下简称《办法》)，制定本实施细则。</w:t>
      </w:r>
    </w:p>
    <w:p>
      <w:pPr>
        <w:widowControl/>
        <w:shd w:val="clear" w:color="auto" w:fill="FFFFFF"/>
        <w:spacing w:line="312" w:lineRule="auto"/>
        <w:ind w:firstLine="422" w:firstLineChars="200"/>
        <w:contextualSpacing/>
        <w:jc w:val="left"/>
        <w:rPr>
          <w:rFonts w:hint="eastAsia" w:ascii="仿宋" w:hAnsi="仿宋" w:eastAsia="仿宋" w:cs="仿宋"/>
          <w:kern w:val="0"/>
          <w:szCs w:val="21"/>
        </w:rPr>
      </w:pPr>
      <w:r>
        <w:rPr>
          <w:rFonts w:hint="eastAsia" w:ascii="仿宋" w:hAnsi="仿宋" w:eastAsia="仿宋" w:cs="仿宋"/>
          <w:b/>
          <w:bCs/>
          <w:kern w:val="0"/>
          <w:szCs w:val="21"/>
        </w:rPr>
        <w:t>第二条</w:t>
      </w:r>
      <w:r>
        <w:rPr>
          <w:rFonts w:hint="eastAsia" w:ascii="仿宋" w:hAnsi="仿宋" w:eastAsia="仿宋" w:cs="仿宋"/>
          <w:kern w:val="0"/>
          <w:szCs w:val="21"/>
        </w:rPr>
        <w:t>　《办法》和本实施细则所称银行，是指在中华人民共和国境内依法经批准设立，可经营人民币支付结算业务的银行业金融机构。</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第三条　中国人民银行是银行结算账户的监督管理部门，负责对银行结算账户的开立、使用、变更和撤销进行检查监督。</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第四条　中国人民银行通过人民币银行结算账户管理系统(以下简称“账户管理系统”)和其他合法手段，对银行结算账户的开立、使用、变更和撤销实施监控和管理。</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第五条　中国人民银行对下列单位银行结算账户实行核准制度：</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(一)基本存款账户；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(二)临时存款账户(因注册验资和增资验资开立的除外)；</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(三)预算单位专用存款账户；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(四)合格境外机构投资者在境内从事证券投资开立的人民币特殊账户和人民币结算资金账户(以下简称“QFII专用存款账户”)。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上述银行结算账户统称核准类银行结算账户。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第六条　《办法》中“开户登记证”全部改为开户许可证。开户许可证是中国人民银行依法准予申请人在银行开立核准类银行结算账户的行政许可证件，是核准类银行结算账户合法性的有效证明。</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中国人民银行在核准开立基本存款账户、临时存款账户(因注册验资和增资验资开立的除外)、预算单位专用存款账户和QFII专用存款账户时分别颁发基本存款账户开户许可证、临时存款账户开户许可证和专用存款账户开户许可证(附式1)。</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第七条　人民银行在颁发开户许可证时，应在开户许可证中载明下列事项：</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(一)“开户许可证”字样；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(二)开户许可证编号；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(三)开户核准号；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(四)中国人民银行当地分支行账户管理专用章；</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(五)核准日期；</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(六)存款人名称；</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(七)存款人的法定代表人或单位负责人姓名；</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(八)开户银行名称；</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(九)账户性质；</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(十)账号。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临时存款账户开户许可证除记载上述事项外，还应记载临时存款账户的有效期限。</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第八条　《办法》和本实施细则所称“注册地”是指存款人的营业执照等开户证明文件上记载的住所地。</w:t>
      </w:r>
    </w:p>
    <w:p>
      <w:pPr>
        <w:widowControl/>
        <w:shd w:val="clear" w:color="auto" w:fill="FFFFFF"/>
        <w:spacing w:line="312" w:lineRule="auto"/>
        <w:ind w:firstLine="420" w:firstLineChars="200"/>
        <w:contextualSpacing/>
        <w:jc w:val="center"/>
        <w:rPr>
          <w:rFonts w:hint="eastAsia" w:ascii="仿宋" w:hAnsi="仿宋" w:eastAsia="仿宋" w:cs="仿宋"/>
          <w:kern w:val="0"/>
          <w:szCs w:val="21"/>
        </w:rPr>
      </w:pPr>
      <w:r>
        <w:rPr>
          <w:rFonts w:hint="eastAsia" w:ascii="仿宋" w:hAnsi="仿宋" w:eastAsia="仿宋" w:cs="仿宋"/>
          <w:kern w:val="0"/>
          <w:szCs w:val="21"/>
        </w:rPr>
        <w:t>　第二章　银行结算账户的开立</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第九条　存款人应以实名开立银行结算账户，并对其出具的开户申请资料实质内容的真实性负责、法律、行政法规另有规定的除外。银行应负责对存款人开户申请资料的真实性、完整性和合规性进行审查。中国人民银行应负责对银行报送的核准类银行结算账户的开户资料的合规性以及存款人开立基本存款账户的唯一性进行审核。</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第十条　境外(含港澳台地区)机构在境内从事经营活动的，或境内单位在异地从事临时活动的，持政府有关部门批准其从事该项活动的证明文件，经中国人民银行当地分支行核准后可开立临时存款账户。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第十一条　单位存款人因增资验资需要开立银行结算账户的，应持其基本存款账户开户许可证、股东会或董事会决议等证明文件，在银行开立一个临时存款账户。该账户的使用和撤销比照因注册验资开立的临时存款账户管理。</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第十二条　存款人为临时机构的，只能在其驻在地开立一个临时存款账户，不得开立其他银行结算账户。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存款人在异地从事临时活动的，只能在其临时活动地开立一个临时存款账户。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建筑施工及安装单位企业在异地同时承建多个项目的，可根据建筑施工及安装合同开立不超过项目合同个数的临时存款账户。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第十三条　《办法》第十七条所称“税务登记证”是指国税登记证或地税登记证。</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存款人为从事生产、经营活动的纳税人，根据国家有关规定无法取得税务登记证的，在申请开立基本存款账户时可不出具税务登记证。</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第十四条　存款人凭《办法》第十九条规定的同一证明文件，只能开立一个专用存款账户。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合格境外机构投资者申请开立QFII专用存款账户应根据《办法》第二十条的规定出具证明文件，无须出具基本存款账户开户许可证。</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第十五条　自然人除可凭《办法》第二十二条规定的证明文件申请开立个人银行结算账户外，还可凭下列证明文件申请开立个人银行结算账户：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(一)居住在境内的中国公民，可出具户口簿或护照。</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(二)军队(武装警察)离退休干部以及在解放军军事院校学习的现役军人，可出具离休干部荣誉证、军官退休证、文职干部退休证或军事院校学员证。</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(三)居住在境内或境外的中国籍的华侨，可出具中国护照。</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(四)外国边民在我国边境地区的银行开立个人银行账户，可出具所在国制发的《边民出入境通行证》。</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(五)获得在中国永久居留资格的外国人，可出具外国人永久居留证。</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第十六条　《办法》第二十三条第(一)项所称出具“未开立基本存款账户的证明”(附式2)适用以下三种情形：</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(一)注册地已运行账户管理系统，但经营地尚未运行账户管理系统的；</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(二)经营地已运行账户管理系统，但注册地尚未运行账户管理系统的；</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(三)注册地和经营地均未运行账户管理系统的。</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第十七条　存款人为单位的，其预留签章为该单位的公章或财务专用章加其法定代表人(单位负责人)或其授权的代理人的签名或者盖章。存款人为个人的，其预留签章为该个人的签名或者盖章。</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第十八条　存款人在申请开立单位银行结算账户时，其申请开立的银行结算账户的账户名称、出具的开户证明文件上记载的存款人名称以及预留银行签章中公章或财务专用章的名称应保持一致，但下列情形除外：</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因注册验资开立的临时存款账户，其账户名称为工商行政管理部门核发的“企业名称预先核准通知书”或政府有关部门批文中注明的名称，其预留银行签章中公章或财务专用章的名称应是存款人与银行在银行结算账户管理协议中约定的出资人名称；</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(二)预留银行签章中公章或财务专用章的名称依法可使用简称的，账户名称应与其保持一致；</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(三)没有字号的个体工商户开立的银行结算账户，其预留签章中公章或财务专用章应是个体户字样加营业执照上载明的经营者的签字或盖章。</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第十九条　存款人因注册验资或增资验资开立临时存款账户后，需要在临时存款账户有效期届满前退还资金的，应出具工商行政管理部门的证明；无法出具证明的，应于账户有效期届满后办理销户退款手续。</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第二十条　《办法》第二十七条所称“填制开户申请书”是指，存款人申请开立单位银行结算账户时，应填写“开立单位银行结算账户申请书”(附式3)，并加盖单位公章。存款人有组织机构代码、上级法人或主管单位的，应在“开立单位银行结算账户申请书”上如实填写相关信息。存款人有关联企业的，应填写“关联企业登记表”(附式4)。存款人申请开立个人银行结算账户时，应填写“开立个人银行结算账户申请书”(附式5)，并加其个人签章。</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第二十一条　中国人民银行当地分支行在核准存款人开立基本存款账户后，应为存款人打印初始密码，由开户银行转交存款人。</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存款人可到中国人民银行当地分支行或基本存款账户开户银行，提交基本存款账户开户许可证，使用密码查询其已经开立的所有银行结算账户的相关信息。</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第二十二条　开户银行和存款人签订的银行结算账户管理协议的内容可在开户申请书中列明，也可由开户银行与存款人另行约定。</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第二十三条　存款人符合《办法》和本实施细则规定的开户条件的，银行应为其开立银行结算账户。</w:t>
      </w:r>
    </w:p>
    <w:p>
      <w:pPr>
        <w:widowControl/>
        <w:shd w:val="clear" w:color="auto" w:fill="FFFFFF"/>
        <w:spacing w:line="312" w:lineRule="auto"/>
        <w:ind w:firstLine="420" w:firstLineChars="200"/>
        <w:contextualSpacing/>
        <w:jc w:val="center"/>
        <w:rPr>
          <w:rFonts w:hint="eastAsia" w:ascii="仿宋" w:hAnsi="仿宋" w:eastAsia="仿宋" w:cs="仿宋"/>
          <w:kern w:val="0"/>
          <w:szCs w:val="21"/>
        </w:rPr>
      </w:pPr>
      <w:r>
        <w:rPr>
          <w:rFonts w:hint="eastAsia" w:ascii="仿宋" w:hAnsi="仿宋" w:eastAsia="仿宋" w:cs="仿宋"/>
          <w:kern w:val="0"/>
          <w:szCs w:val="21"/>
        </w:rPr>
        <w:t>　第三章　银行结算账户的使用</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第二十四条　《办法》第三十六条所称“临时存款账户展期”的具体办理程序是，存款人在临时存款账户有效期届满前申请办理展期时，应填写“临时存款账户展期申请书”(附式6)，并加盖单位公章，连同临时存款账户开户许可证及开立临时存款账户时需要出具的相关证明文件一并通过开户银行报送中国人民银行当地分支行。</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符合展期条件的，中国人民银行当地分支行应核准其展期，收回原临时存款账户开户许可证，并颁发新的临时存款账户开户许可证。不符合展期条件的，中国人民银行当地分支行不核准其展期申请，存款人应及时办理该临时存款账户的撤销手续。</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第二十五条　《办法》第三十八条所称“正式开立之日”具体是指：对于核准类银行结算账户，“正式开立之日”为中国人民银行当地分支行的核准日期；对于非核准类单位银行结算账户，“正式开立之日”为银行为存款人办理开户手续的日期。</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第二十六条　当存款人在同一银行营业机构撤销银行结算账户后重新开立银行结算账户时，重新开立的银行结算账户可自开立之日起办理付款业务。</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第二十七条　《办法》第四十一条所称“有下列情形之一的”，是指“有下列情形之一”，且符合“单位从其银行结算账户支付给个人银行结算账户的款项每笔超过5万元”的情形。</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第二十八条　《办法》第四十二条所称“银行应按第四十条、第四十一条规定认真审查付款依据或收款依据的原件，并留存复印件”是指：对于《办法》第四十条规定的情形，单位银行结算账户的开户银行应认真审查付款依据的原件，并留存复印件；对于《办法》第四十一条规定的情形，个人银行结算账户的开户银行应认真审查收款依据的原件，并留存复印件。</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存款人应对其提供的收款依据或付款依据的真实性、合法性负责，银行应按会计档案管理规定保管收款依据、付款依据的复印件。</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第二十九条　个人持出票人(或申请人)为单位且一手或多手背书人为单位的支票、银行汇票或银行本票，向开户银行提示付款并将款项转入其个人银行结算账户的，应按照《办法》第四十一条和本实施细则第二十八条的规定，向开户银行出具最后一手背书人为单位且被背书人为个人的收款依据。</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第三十条　《办法》第四十四条所称“规定期限”是指银行与存款人约定的期限。</w:t>
      </w:r>
    </w:p>
    <w:p>
      <w:pPr>
        <w:widowControl/>
        <w:shd w:val="clear" w:color="auto" w:fill="FFFFFF"/>
        <w:spacing w:line="312" w:lineRule="auto"/>
        <w:ind w:firstLine="420" w:firstLineChars="200"/>
        <w:contextualSpacing/>
        <w:jc w:val="center"/>
        <w:rPr>
          <w:rFonts w:hint="eastAsia" w:ascii="仿宋" w:hAnsi="仿宋" w:eastAsia="仿宋" w:cs="仿宋"/>
          <w:kern w:val="0"/>
          <w:szCs w:val="21"/>
        </w:rPr>
      </w:pPr>
      <w:r>
        <w:rPr>
          <w:rFonts w:hint="eastAsia" w:ascii="仿宋" w:hAnsi="仿宋" w:eastAsia="仿宋" w:cs="仿宋"/>
          <w:kern w:val="0"/>
          <w:szCs w:val="21"/>
        </w:rPr>
        <w:t>　第四章　银行结算账户的变更与撤销</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第三十一条　《办法》第四十六条所称“提出银行结算账户的变更申请”是指，存款人申请办理银行结算账户信息变更时，应填写“变更银行结算账户申请书”(附式7)。属于申请变更单位银行结算账户的，应加盖单位公章；属于申请变更个人银行结算账户的，应加其个人签章。</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第三十二条　存款人申请变更核准类银行结算账户的存款人名称、法定代表人或单位负责人的，银行应在接到变更申请后的2个工作日内，将存款人的“变更银行结算账户申请书”、开户许可证以及有关证明文件报送中国人民银行当地分支行。</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符合变更条件的，中国人民银行当地分支行核准其变更申请，收回原开户许可证，颁发新的开户许可证。不符合变更条件的，中国人民银行当地分支行不核准其变更申请。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第三十三条　存款人因《办法》第四十九条第(一)、(二)项原因撤销银行结算账户的，应先撤销一般存款账户、专用存款账户、临时存款账户，将账户资金转入基本存款账户后，方可办理基本存款账户的撤销。</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第三十四条　存款人因《办法》第四十九条第(三)、(四)项原因撤销基本存款账户后，需要重新开立基本存款账户的，应在撤销其原基本存款账户后10日内申请重新开立基本存款账户。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存款人在申请重新开立基本存款账户时，除应根据《办法》第十七条的规定出具相关证明文件外，还应出具“已开立银行结算账户清单”(附式8)。</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第三十五条　存款人申请撤销银行结算账户时，应填写“撤销银行结算账户申请书”(附式9)。属于申请撤销单位银行结算账户的，应加盖单位公章；属于申请撤销个人银行结算账户的，应加其个人签章。</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第三十六条　银行在收到存款人撤销银行结算账户的申请后，对于符合销户条件的，应在2个工作日内办理撤销手续。</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第三十七条　《办法》第五十四条所称交回“开户登记证”是指存款人撤销核准类银行结算账户时应交回开户许可证。</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第三十八条　存款人申请临时存款账户展期，变更、撤销单位银行结算账户以及补(换)发开户许可证时，可由法定代表人或单位负责人直接办理，也可授权他人办理。</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由法定代表人或单位负责人直接办理的，除出具相应的证明文件外，还应出具法定代表人或单位负责人的身份证件；授权他人办理的，除出具相应的证明文件外，还应出具法定代表人或单位负责人的身份证件及其出具的授权书，以及被授权人的身份证件。</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第三十九条　对于按照《办法》和本实施细则规定应撤销而未办理销户手续的单位银行结算账户，银行应通知该单位银行结算账户的存款人自发出通知之日起30日内办理销户手续，逾期视同自愿销户，未划转款项列入欠悬未取专户管理。</w:t>
      </w:r>
    </w:p>
    <w:p>
      <w:pPr>
        <w:widowControl/>
        <w:shd w:val="clear" w:color="auto" w:fill="FFFFFF"/>
        <w:spacing w:line="312" w:lineRule="auto"/>
        <w:ind w:firstLine="420" w:firstLineChars="200"/>
        <w:contextualSpacing/>
        <w:jc w:val="center"/>
        <w:rPr>
          <w:rFonts w:hint="eastAsia" w:ascii="仿宋" w:hAnsi="仿宋" w:eastAsia="仿宋" w:cs="仿宋"/>
          <w:kern w:val="0"/>
          <w:szCs w:val="21"/>
        </w:rPr>
      </w:pPr>
      <w:r>
        <w:rPr>
          <w:rFonts w:hint="eastAsia" w:ascii="仿宋" w:hAnsi="仿宋" w:eastAsia="仿宋" w:cs="仿宋"/>
          <w:kern w:val="0"/>
          <w:szCs w:val="21"/>
        </w:rPr>
        <w:t>　第五章　银行结算账户的管理</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第四十条　中国人民银行当地分支行通过账户管理系统与支付系统、同城票据交换系统等系统的连接，实现相关银行结算账户信息的比对，依法监测和查处未经中国人民银行核准或未向中国人民银行备案的银行结算账户。</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第四十一条　账户管理系统中的银行机构代码是按照中国人民银行规定的编码规则为银行编制的，用于识别银行身份的唯一标识，是账户管理系统的基础数据。</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中国人民银行负责银行机构代码信息的统一管理和维护。银行应按要求准确、完整、及时地向中国人民银行当地分支行申报银行机构代码信息。</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第四十二条　中国人民银行应将开户许可证作为重要空白凭证进行管理，建立健全开户许可证的印制、保管、领用、颁发、收缴和销毁制度。</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第四十三条　开户许可证遗失或毁损时，存款人应填写“补(换)发开户许可证申请书”(附式10)，并加盖单位公章，比照《办法》和本实施细则有关开立银行结算账户的规定，通过开户银行向中国人民银行当地分支行提出补(换)发开户许可证的申请。申请换发开户许可证的，存款人应缴回原开户许可证。</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第四十四条　单位存款人申请更换预留公章或财务专用章，应向开户银行出具书面申请、原预留公章或财务专用章等相关证明材料。</w:t>
      </w:r>
    </w:p>
    <w:p>
      <w:pPr>
        <w:widowControl/>
        <w:shd w:val="clear" w:color="auto" w:fill="FFFFFF"/>
        <w:spacing w:line="312" w:lineRule="auto"/>
        <w:ind w:firstLine="420" w:firstLineChars="200"/>
        <w:contextualSpacing/>
        <w:rPr>
          <w:rFonts w:hint="eastAsia" w:ascii="仿宋" w:hAnsi="仿宋" w:eastAsia="仿宋" w:cs="仿宋"/>
          <w:strike/>
          <w:kern w:val="0"/>
          <w:szCs w:val="21"/>
        </w:rPr>
      </w:pPr>
      <w:r>
        <w:rPr>
          <w:rFonts w:hint="eastAsia" w:ascii="仿宋" w:hAnsi="仿宋" w:eastAsia="仿宋" w:cs="仿宋"/>
          <w:strike/>
          <w:kern w:val="0"/>
          <w:szCs w:val="21"/>
        </w:rPr>
        <w:t>单位存款人申请更换预留公章或财务专用章但无法提供原预留公章或财务专用章的，应向开户银行出具原印签卡片、开户许可证、营业执照正本、司法部门的证明等相关证明文件。</w:t>
      </w:r>
      <w:r>
        <w:rPr>
          <w:rStyle w:val="36"/>
          <w:rFonts w:hint="eastAsia" w:ascii="仿宋" w:hAnsi="仿宋" w:eastAsia="仿宋" w:cs="仿宋"/>
          <w:strike/>
          <w:kern w:val="0"/>
          <w:szCs w:val="21"/>
        </w:rPr>
        <w:footnoteReference w:id="15"/>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单位存款人申请更换预留公章或财务专用章但无法提供原预留公章或财务专用章的，应当向开户银行出具原印签卡片、开户许可证、营业执照正本等相关证明文件。</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单位存款人申请变更预留公章或财务专用章，可由法定代表人或单位负责人直接办理，也可授权他人办理。由法定代表人或单位负责人直接办理的，除出具相应的证明文件外，还应出具法定代表人或单位负责人的身份证件；授权他人办理的，除出具相应的证明文件外，还应出具法定代表人或单位负责人的身份证件及其出具的授权书，以及被授权人的身份证件。</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第四十五条　单位存款人申请更换预留个人签章，可由法定代表人或单位负责人直接办理，也可授权他人办理。</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由法定代表人或单位负责人直接办理的，应出具加盖该单位公章的书面申请以及法定代表人或单位负责人的身份证件。</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授权他人办理的，应出具加盖该单位公章的书面申请、法定代表人或单位负责人的身份证件及其出具的授权书、被授权人的身份证件。无法出具法定代表人或单位负责人的身份证件的，应出具加盖该单位公章的书面申请、该单位出具的授权书以及被授权人的身份证件。</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第四十六条　存款人应妥善保管其密码。存款人在收到开户银行转交的初始密码之后，应到中国人民银行当地分支行或基本存款账户开户银行办理密码变更手续。</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存款人遗失密码的，应持其开户时需要出具的证明文件和基本存款账户开户许可证到中国人民银行当地分支行申请重置密码。</w:t>
      </w:r>
    </w:p>
    <w:p>
      <w:pPr>
        <w:widowControl/>
        <w:shd w:val="clear" w:color="auto" w:fill="FFFFFF"/>
        <w:spacing w:line="312" w:lineRule="auto"/>
        <w:ind w:firstLine="420" w:firstLineChars="200"/>
        <w:contextualSpacing/>
        <w:jc w:val="center"/>
        <w:rPr>
          <w:rFonts w:hint="eastAsia" w:ascii="仿宋" w:hAnsi="仿宋" w:eastAsia="仿宋" w:cs="仿宋"/>
          <w:kern w:val="0"/>
          <w:szCs w:val="21"/>
        </w:rPr>
      </w:pPr>
      <w:r>
        <w:rPr>
          <w:rFonts w:hint="eastAsia" w:ascii="仿宋" w:hAnsi="仿宋" w:eastAsia="仿宋" w:cs="仿宋"/>
          <w:kern w:val="0"/>
          <w:szCs w:val="21"/>
        </w:rPr>
        <w:t>　第六章　附则</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第四十七条　本实施细则所称各类申请书，可由银行参照本实施细则所附申请书式样，结合本行的需要印制，但必须包含本实施细则所附申请书式样中列明的记载事项。</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第四十八条　《办法》和本实施细则所称身份证件，是指符合《办法》第二十二条和本实施细则第十五条规定的身份证件。</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第四十九条　本实施细则由中国人民银行负责解释、修改。</w:t>
      </w:r>
    </w:p>
    <w:p>
      <w:pPr>
        <w:widowControl/>
        <w:shd w:val="clear" w:color="auto" w:fill="FFFFFF"/>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第五十条　本实施细则自2005年1月31日起施行。</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