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Style w:val="35"/>
          <w:rFonts w:hint="eastAsia"/>
          <w:color w:val="000000" w:themeColor="text1"/>
          <w:u w:val="none"/>
          <w14:textFill>
            <w14:solidFill>
              <w14:schemeClr w14:val="tx1"/>
            </w14:solidFill>
          </w14:textFill>
        </w:rPr>
      </w:pPr>
      <w:bookmarkStart w:id="1235" w:name="_Toc5048966"/>
      <w:bookmarkStart w:id="1236" w:name="_Toc17056"/>
      <w:r>
        <w:rPr>
          <w:rStyle w:val="35"/>
          <w:rFonts w:hint="eastAsia"/>
          <w:color w:val="000000" w:themeColor="text1"/>
          <w:u w:val="none"/>
          <w14:textFill>
            <w14:solidFill>
              <w14:schemeClr w14:val="tx1"/>
            </w14:solidFill>
          </w14:textFill>
        </w:rPr>
        <w:t>464--</w:t>
      </w:r>
      <w:r>
        <w:rPr>
          <w:rFonts w:hint="eastAsia"/>
        </w:rPr>
        <w:t>中国人民银行 证监会 发展改革委</w:t>
      </w:r>
      <w:r>
        <w:rPr>
          <w:rFonts w:hint="eastAsia"/>
        </w:rPr>
        <w:br w:type="textWrapping"/>
      </w:r>
      <w:r>
        <w:rPr>
          <w:rFonts w:hint="eastAsia"/>
        </w:rPr>
        <w:t>关于进一步加强债券市场执法工作的意见</w:t>
      </w:r>
      <w:r>
        <w:rPr>
          <w:rStyle w:val="35"/>
          <w:rFonts w:hint="eastAsia"/>
          <w:color w:val="000000" w:themeColor="text1"/>
          <w:u w:val="none"/>
          <w14:textFill>
            <w14:solidFill>
              <w14:schemeClr w14:val="tx1"/>
            </w14:solidFill>
          </w14:textFill>
        </w:rPr>
        <w:br w:type="textWrapping"/>
      </w:r>
      <w:r>
        <w:rPr>
          <w:rStyle w:val="35"/>
          <w:rFonts w:hint="eastAsia"/>
          <w:color w:val="000000" w:themeColor="text1"/>
          <w:u w:val="none"/>
          <w14:textFill>
            <w14:solidFill>
              <w14:schemeClr w14:val="tx1"/>
            </w14:solidFill>
          </w14:textFill>
        </w:rPr>
        <w:t>（银发〔2018〕296号）</w:t>
      </w:r>
      <w:bookmarkEnd w:id="1235"/>
      <w:bookmarkEnd w:id="1236"/>
    </w:p>
    <w:p>
      <w:pPr>
        <w:autoSpaceDE w:val="0"/>
        <w:autoSpaceDN w:val="0"/>
        <w:adjustRightInd w:val="0"/>
        <w:snapToGrid w:val="0"/>
        <w:spacing w:line="312" w:lineRule="auto"/>
        <w:rPr>
          <w:rFonts w:hint="eastAsia" w:ascii="仿宋" w:hAnsi="仿宋" w:eastAsia="仿宋" w:cs="仿宋"/>
          <w:kern w:val="0"/>
          <w:szCs w:val="32"/>
        </w:rPr>
      </w:pPr>
      <w:r>
        <w:rPr>
          <w:rFonts w:hint="eastAsia" w:ascii="仿宋" w:hAnsi="仿宋" w:eastAsia="仿宋" w:cs="仿宋"/>
          <w:kern w:val="0"/>
          <w:szCs w:val="32"/>
        </w:rPr>
        <w:t>各债券市场参与者：</w:t>
      </w:r>
    </w:p>
    <w:p>
      <w:pPr>
        <w:autoSpaceDE w:val="0"/>
        <w:autoSpaceDN w:val="0"/>
        <w:adjustRightInd w:val="0"/>
        <w:snapToGrid w:val="0"/>
        <w:spacing w:line="312" w:lineRule="auto"/>
        <w:ind w:firstLine="420" w:firstLineChars="200"/>
        <w:rPr>
          <w:rFonts w:hint="eastAsia" w:ascii="仿宋" w:hAnsi="仿宋" w:eastAsia="仿宋" w:cs="仿宋"/>
          <w:b/>
          <w:kern w:val="0"/>
          <w:szCs w:val="32"/>
        </w:rPr>
      </w:pPr>
      <w:r>
        <w:rPr>
          <w:rFonts w:hint="eastAsia" w:ascii="仿宋" w:hAnsi="仿宋" w:eastAsia="仿宋" w:cs="仿宋"/>
          <w:kern w:val="0"/>
          <w:szCs w:val="32"/>
        </w:rPr>
        <w:t>近年来，我国债券市场发展迅速，总体平稳规范，但也出现了一些违法违规行为，需进一步加强债券市场执法。为深入贯彻党的十九大精神，落实第五次全国金融工作会议要求，健全金融监管体系，优化监管资源配置，促进我国债券市场健康稳定发展，经国务院同意，现就进一步加强债券市场执法工作提出以下意见：</w:t>
      </w:r>
    </w:p>
    <w:p>
      <w:pPr>
        <w:autoSpaceDE w:val="0"/>
        <w:autoSpaceDN w:val="0"/>
        <w:adjustRightInd w:val="0"/>
        <w:snapToGrid w:val="0"/>
        <w:spacing w:line="312" w:lineRule="auto"/>
        <w:ind w:firstLine="422" w:firstLineChars="200"/>
        <w:rPr>
          <w:rFonts w:hint="eastAsia" w:ascii="仿宋" w:hAnsi="仿宋" w:eastAsia="仿宋" w:cs="仿宋"/>
          <w:b/>
          <w:kern w:val="0"/>
          <w:szCs w:val="32"/>
        </w:rPr>
      </w:pPr>
      <w:r>
        <w:rPr>
          <w:rFonts w:hint="eastAsia" w:ascii="仿宋" w:hAnsi="仿宋" w:eastAsia="仿宋" w:cs="仿宋"/>
          <w:b/>
          <w:kern w:val="0"/>
          <w:szCs w:val="32"/>
        </w:rPr>
        <w:t>一、强化监管执法，建立统一的债券市场执法机制</w:t>
      </w:r>
    </w:p>
    <w:p>
      <w:pPr>
        <w:autoSpaceDE w:val="0"/>
        <w:autoSpaceDN w:val="0"/>
        <w:adjustRightInd w:val="0"/>
        <w:snapToGrid w:val="0"/>
        <w:spacing w:line="312" w:lineRule="auto"/>
        <w:ind w:firstLine="420" w:firstLineChars="200"/>
        <w:rPr>
          <w:rFonts w:hint="eastAsia" w:ascii="仿宋" w:hAnsi="仿宋" w:eastAsia="仿宋" w:cs="仿宋"/>
          <w:kern w:val="0"/>
          <w:szCs w:val="32"/>
        </w:rPr>
      </w:pPr>
      <w:r>
        <w:rPr>
          <w:rFonts w:hint="eastAsia" w:ascii="仿宋" w:hAnsi="仿宋" w:eastAsia="仿宋" w:cs="仿宋"/>
          <w:kern w:val="0"/>
          <w:szCs w:val="32"/>
        </w:rPr>
        <w:t>证监会依法对银行间债券市场、交易所债券市场违法行为开展统一的执法工作。对涉及公司债券、企业债券、非金融企业债务融资工具、金融债券等各类债券品种的信息披露违法违规、内幕交易、操纵证券市场以及其他违反证券法的行为，依据证券法第一百九十三条、第二百零二条、第二百零三条、第二百二十三条、第二百二十六条等有关规定进行认定和行政处罚。对商业银行、证券公司等在承销各类债券过程中的违法行为，依照证券法第一百九十一条进行处罚。违法行为情节严重的，由证监会依据证券法第二百三十三条对有关责任人员采取证券市场禁入措施。在案件调查过程中发现涉嫌犯罪的，及时移送公安机关依法追究刑事责任；公安机关在接到依法移送的案件后，及时立案侦查。</w:t>
      </w:r>
    </w:p>
    <w:p>
      <w:pPr>
        <w:autoSpaceDE w:val="0"/>
        <w:autoSpaceDN w:val="0"/>
        <w:adjustRightInd w:val="0"/>
        <w:snapToGrid w:val="0"/>
        <w:spacing w:line="312" w:lineRule="auto"/>
        <w:ind w:firstLine="420" w:firstLineChars="200"/>
        <w:rPr>
          <w:rFonts w:hint="eastAsia" w:ascii="仿宋" w:hAnsi="仿宋" w:eastAsia="仿宋" w:cs="仿宋"/>
          <w:b/>
          <w:kern w:val="0"/>
          <w:szCs w:val="32"/>
        </w:rPr>
      </w:pPr>
      <w:r>
        <w:rPr>
          <w:rFonts w:hint="eastAsia" w:ascii="仿宋" w:hAnsi="仿宋" w:eastAsia="仿宋" w:cs="仿宋"/>
          <w:kern w:val="0"/>
          <w:szCs w:val="32"/>
        </w:rPr>
        <w:t>人民银行、证监会、发展改革委继续按现行职责分工做好债券市场行政监管。债券市场自律组织及其他市场参与机构做好自律管理等相关工作。</w:t>
      </w:r>
    </w:p>
    <w:p>
      <w:pPr>
        <w:autoSpaceDE w:val="0"/>
        <w:autoSpaceDN w:val="0"/>
        <w:adjustRightInd w:val="0"/>
        <w:snapToGrid w:val="0"/>
        <w:spacing w:line="312" w:lineRule="auto"/>
        <w:ind w:firstLine="422" w:firstLineChars="200"/>
        <w:rPr>
          <w:rFonts w:hint="eastAsia" w:ascii="仿宋" w:hAnsi="仿宋" w:eastAsia="仿宋" w:cs="仿宋"/>
          <w:b/>
          <w:kern w:val="0"/>
          <w:szCs w:val="32"/>
        </w:rPr>
      </w:pPr>
      <w:r>
        <w:rPr>
          <w:rFonts w:hint="eastAsia" w:ascii="仿宋" w:hAnsi="仿宋" w:eastAsia="仿宋" w:cs="仿宋"/>
          <w:b/>
          <w:kern w:val="0"/>
          <w:szCs w:val="32"/>
        </w:rPr>
        <w:t>二、加强执法保障，推进统一执法工作顺利开展</w:t>
      </w:r>
    </w:p>
    <w:p>
      <w:pPr>
        <w:autoSpaceDE w:val="0"/>
        <w:autoSpaceDN w:val="0"/>
        <w:adjustRightInd w:val="0"/>
        <w:snapToGrid w:val="0"/>
        <w:spacing w:line="312" w:lineRule="auto"/>
        <w:ind w:firstLine="420" w:firstLineChars="200"/>
        <w:rPr>
          <w:rFonts w:hint="eastAsia" w:ascii="仿宋" w:hAnsi="仿宋" w:eastAsia="仿宋" w:cs="仿宋"/>
          <w:kern w:val="0"/>
          <w:szCs w:val="32"/>
        </w:rPr>
      </w:pPr>
      <w:r>
        <w:rPr>
          <w:rFonts w:hint="eastAsia" w:ascii="仿宋" w:hAnsi="仿宋" w:eastAsia="仿宋" w:cs="仿宋"/>
          <w:kern w:val="0"/>
          <w:szCs w:val="32"/>
        </w:rPr>
        <w:t>证监会在开展债券市场统一执法工作中，有权采取证券法第一百八十条规定的措施。证监会有权要求债券市场自律组织、交易所和交易平台、登记托管结算机构和市场参与机构等提供与案件调查有关的交易记录、登记托管结算资料、信息披露文件等证据材料，并在必要时依法向有关部门、单位调取与被调查事件有关单位和个人的征信记录、社会保险记录、海关记录、纳税记录、工商资料、通讯记录等信息。</w:t>
      </w:r>
    </w:p>
    <w:p>
      <w:pPr>
        <w:autoSpaceDE w:val="0"/>
        <w:autoSpaceDN w:val="0"/>
        <w:adjustRightInd w:val="0"/>
        <w:snapToGrid w:val="0"/>
        <w:spacing w:line="312" w:lineRule="auto"/>
        <w:ind w:firstLine="420" w:firstLineChars="200"/>
        <w:rPr>
          <w:rFonts w:hint="eastAsia" w:ascii="仿宋" w:hAnsi="仿宋" w:eastAsia="仿宋" w:cs="仿宋"/>
          <w:b/>
          <w:kern w:val="0"/>
          <w:szCs w:val="32"/>
        </w:rPr>
      </w:pPr>
      <w:r>
        <w:rPr>
          <w:rFonts w:hint="eastAsia" w:ascii="仿宋" w:hAnsi="仿宋" w:eastAsia="仿宋" w:cs="仿宋"/>
          <w:kern w:val="0"/>
          <w:szCs w:val="32"/>
        </w:rPr>
        <w:t>证监会依法履行职责，被调查的单位、个人应当配合，如实提供有关文件和资料，不得拒绝、阻碍和隐瞒。对不配合调查的责任人员，证监会有权建议有关金融监督管理机构或者业务主管部门依法责令责任人员所在单位给予纪律处分，或者建议依法取消其任职资格、禁止其从事有关金融行业工作。</w:t>
      </w:r>
    </w:p>
    <w:p>
      <w:pPr>
        <w:autoSpaceDE w:val="0"/>
        <w:autoSpaceDN w:val="0"/>
        <w:adjustRightInd w:val="0"/>
        <w:snapToGrid w:val="0"/>
        <w:spacing w:line="312" w:lineRule="auto"/>
        <w:ind w:firstLine="422" w:firstLineChars="200"/>
        <w:rPr>
          <w:rFonts w:hint="eastAsia" w:ascii="仿宋" w:hAnsi="仿宋" w:eastAsia="仿宋" w:cs="仿宋"/>
          <w:b/>
          <w:kern w:val="0"/>
          <w:szCs w:val="32"/>
        </w:rPr>
      </w:pPr>
      <w:r>
        <w:rPr>
          <w:rFonts w:hint="eastAsia" w:ascii="仿宋" w:hAnsi="仿宋" w:eastAsia="仿宋" w:cs="仿宋"/>
          <w:b/>
          <w:kern w:val="0"/>
          <w:szCs w:val="32"/>
        </w:rPr>
        <w:t>三、加强协同配合，建立密切协作的工作机制</w:t>
      </w:r>
    </w:p>
    <w:p>
      <w:pPr>
        <w:autoSpaceDE w:val="0"/>
        <w:autoSpaceDN w:val="0"/>
        <w:adjustRightInd w:val="0"/>
        <w:snapToGrid w:val="0"/>
        <w:spacing w:line="312" w:lineRule="auto"/>
        <w:ind w:firstLine="420" w:firstLineChars="200"/>
        <w:rPr>
          <w:rFonts w:hint="eastAsia" w:ascii="仿宋" w:hAnsi="仿宋" w:eastAsia="仿宋" w:cs="仿宋"/>
          <w:kern w:val="0"/>
          <w:szCs w:val="32"/>
        </w:rPr>
      </w:pPr>
      <w:r>
        <w:rPr>
          <w:rFonts w:hint="eastAsia" w:ascii="仿宋" w:hAnsi="仿宋" w:eastAsia="仿宋" w:cs="仿宋"/>
          <w:kern w:val="0"/>
          <w:szCs w:val="32"/>
        </w:rPr>
        <w:t>人民银行、发展改革委积极支持证监会开展债券市场统一执法工作，配合证监会进行案件会商，就案件涉及的专业问题出具书面意见，配合做好行政复议和行政诉讼的答复、应诉工作。人民银行、发展改革委发现涉及债券违法活动的线索，及时移送证监会。</w:t>
      </w:r>
    </w:p>
    <w:p>
      <w:pPr>
        <w:autoSpaceDE w:val="0"/>
        <w:autoSpaceDN w:val="0"/>
        <w:adjustRightInd w:val="0"/>
        <w:snapToGrid w:val="0"/>
        <w:spacing w:line="312" w:lineRule="auto"/>
        <w:ind w:firstLine="420" w:firstLineChars="200"/>
        <w:rPr>
          <w:rFonts w:hint="eastAsia" w:ascii="仿宋" w:hAnsi="仿宋" w:eastAsia="仿宋" w:cs="仿宋"/>
        </w:rPr>
      </w:pPr>
    </w:p>
    <w:p>
      <w:pPr>
        <w:autoSpaceDE w:val="0"/>
        <w:autoSpaceDN w:val="0"/>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utoSpaceDE w:val="0"/>
        <w:autoSpaceDN w:val="0"/>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中国证券监督管理委员会</w:t>
      </w:r>
    </w:p>
    <w:p>
      <w:pPr>
        <w:autoSpaceDE w:val="0"/>
        <w:autoSpaceDN w:val="0"/>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发展改革委</w:t>
      </w:r>
    </w:p>
    <w:p>
      <w:pPr>
        <w:autoSpaceDE w:val="0"/>
        <w:autoSpaceDN w:val="0"/>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2018年12月3日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