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57" w:name="_Toc27468"/>
      <w:bookmarkStart w:id="1258" w:name="_Toc5048976"/>
      <w:r>
        <w:rPr>
          <w:rFonts w:hint="eastAsia"/>
        </w:rPr>
        <w:t>474--中国人民银行关于发布银行间市场基础数据元和银行间市场业务数据</w:t>
      </w:r>
      <w:r>
        <w:rPr>
          <w:rFonts w:hint="eastAsia"/>
        </w:rPr>
        <w:br w:type="textWrapping"/>
      </w:r>
      <w:r>
        <w:rPr>
          <w:rFonts w:hint="eastAsia"/>
        </w:rPr>
        <w:t>交换协议行业标准的通知</w:t>
      </w:r>
      <w:r>
        <w:rPr>
          <w:rStyle w:val="36"/>
          <w:rFonts w:hint="eastAsia"/>
          <w:color w:val="000000" w:themeColor="text1"/>
          <w14:textFill>
            <w14:solidFill>
              <w14:schemeClr w14:val="tx1"/>
            </w14:solidFill>
          </w14:textFill>
        </w:rPr>
        <w:footnoteReference w:id="146"/>
      </w:r>
      <w:r>
        <w:rPr>
          <w:rFonts w:hint="eastAsia"/>
        </w:rPr>
        <w:br w:type="textWrapping"/>
      </w:r>
      <w:r>
        <w:rPr>
          <w:rFonts w:hint="eastAsia"/>
        </w:rPr>
        <w:t>（银发〔2019〕6号）</w:t>
      </w:r>
      <w:bookmarkEnd w:id="1257"/>
      <w:bookmarkEnd w:id="1258"/>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央结算公司、中国银联、上海黄金交易所、交易商协会、上海清算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新修订《银行间市场基础数据元》和《银行间市场业务数据交换协议》行业标准已经全国金融标准化技术委员会审查通过，现予以发布，并就有关事项通知如下：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一、新标准的编号及名称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JR/T0065-2019《银行间市场基础数据元》。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JR/T0066.1-2019《银行间市场业务数据交换协议第1部分：语法、结构与会话层》。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JR/T0066.2-2019《银行间市场业务数据交换协议第2部分：应用层》。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JR/T0066.3-2019《银行间市场业务数据交换协议第3部分：适流表示层》。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二、新标准自发布之日起实施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JR/T0065-2011《银行间市场基础数据元》和JR/T0066一2011《银行间市场业务数据交换协议》两项行业标准（银发[2011]133号文印发）同时废止。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请人民银行分支机构将本通知转发至辖区内地方性金融机构。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1.银行间市场基础数据元（略）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2.银行间市场业务数据交换协议（略）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2019年1月24日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