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79" w:name="_Toc1472"/>
      <w:r>
        <w:rPr>
          <w:rFonts w:hint="eastAsia"/>
        </w:rPr>
        <w:t>484--中国人民银行办公厅 财政部办公厅 税务总局办公厅</w:t>
      </w:r>
      <w:r>
        <w:rPr>
          <w:rFonts w:hint="eastAsia"/>
        </w:rPr>
        <w:br w:type="textWrapping"/>
      </w:r>
      <w:r>
        <w:rPr>
          <w:rFonts w:hint="eastAsia"/>
        </w:rPr>
        <w:t>关于做好个人所得税住房贷款利息专项附加扣除相关信息归集工作的通知</w:t>
      </w:r>
      <w:r>
        <w:rPr>
          <w:rFonts w:hint="eastAsia"/>
        </w:rPr>
        <w:br w:type="textWrapping"/>
      </w:r>
      <w:r>
        <w:rPr>
          <w:rFonts w:hint="eastAsia"/>
        </w:rPr>
        <w:t>（银办发〔2019〕71号）</w:t>
      </w:r>
      <w:r>
        <w:rPr>
          <w:rFonts w:hint="eastAsia"/>
          <w:vertAlign w:val="superscript"/>
        </w:rPr>
        <w:footnoteReference w:id="152"/>
      </w:r>
      <w:bookmarkEnd w:id="1279"/>
    </w:p>
    <w:p>
      <w:pPr>
        <w:autoSpaceDE w:val="0"/>
        <w:autoSpaceDN w:val="0"/>
        <w:adjustRightInd w:val="0"/>
        <w:snapToGrid w:val="0"/>
        <w:spacing w:line="312" w:lineRule="auto"/>
        <w:rPr>
          <w:rFonts w:hint="eastAsia" w:ascii="仿宋" w:hAnsi="仿宋" w:eastAsia="仿宋" w:cs="仿宋"/>
          <w:color w:val="000000"/>
          <w:kern w:val="0"/>
          <w:szCs w:val="38"/>
          <w:lang w:val="zh-CN"/>
        </w:rPr>
      </w:pPr>
    </w:p>
    <w:p>
      <w:pPr>
        <w:autoSpaceDE w:val="0"/>
        <w:autoSpaceDN w:val="0"/>
        <w:adjustRightInd w:val="0"/>
        <w:snapToGrid w:val="0"/>
        <w:spacing w:line="312" w:lineRule="auto"/>
        <w:ind w:firstLine="420" w:firstLineChars="200"/>
        <w:rPr>
          <w:rFonts w:hint="eastAsia" w:ascii="仿宋" w:hAnsi="仿宋" w:eastAsia="仿宋" w:cs="仿宋"/>
          <w:b/>
          <w:color w:val="000000"/>
          <w:kern w:val="0"/>
          <w:szCs w:val="26"/>
          <w:lang w:val="zh-CN"/>
        </w:rPr>
      </w:pPr>
      <w:r>
        <w:rPr>
          <w:rFonts w:hint="eastAsia" w:ascii="仿宋" w:hAnsi="仿宋" w:eastAsia="仿宋" w:cs="仿宋"/>
          <w:color w:val="000000"/>
          <w:kern w:val="0"/>
          <w:szCs w:val="28"/>
          <w:lang w:val="zh-CN"/>
        </w:rPr>
        <w:t>为配合做好个人所得税专项附加扣除工作，依据《中华人民共和国个人所得稅法》、《征信业管理条例》、《个人所得稅专项附</w:t>
      </w:r>
      <w:r>
        <w:rPr>
          <w:rFonts w:hint="eastAsia" w:ascii="仿宋" w:hAnsi="仿宋" w:eastAsia="仿宋" w:cs="仿宋"/>
          <w:color w:val="000000"/>
          <w:kern w:val="0"/>
          <w:szCs w:val="26"/>
          <w:lang w:val="zh-CN"/>
        </w:rPr>
        <w:t>加扣除暂行办法》（国发〔</w:t>
      </w:r>
      <w:r>
        <w:rPr>
          <w:rFonts w:hint="eastAsia" w:ascii="仿宋" w:hAnsi="仿宋" w:eastAsia="仿宋" w:cs="仿宋"/>
          <w:color w:val="000000"/>
          <w:kern w:val="0"/>
          <w:szCs w:val="30"/>
          <w:lang w:val="zh-CN"/>
        </w:rPr>
        <w:t>2018</w:t>
      </w:r>
      <w:r>
        <w:rPr>
          <w:rFonts w:hint="eastAsia" w:ascii="仿宋" w:hAnsi="仿宋" w:eastAsia="仿宋" w:cs="仿宋"/>
          <w:color w:val="000000"/>
          <w:kern w:val="0"/>
          <w:szCs w:val="26"/>
          <w:lang w:val="zh-CN"/>
        </w:rPr>
        <w:t>〕</w:t>
      </w:r>
      <w:r>
        <w:rPr>
          <w:rFonts w:hint="eastAsia" w:ascii="仿宋" w:hAnsi="仿宋" w:eastAsia="仿宋" w:cs="仿宋"/>
          <w:color w:val="000000"/>
          <w:kern w:val="0"/>
          <w:szCs w:val="30"/>
          <w:lang w:val="zh-CN"/>
        </w:rPr>
        <w:t>41</w:t>
      </w:r>
      <w:r>
        <w:rPr>
          <w:rFonts w:hint="eastAsia" w:ascii="仿宋" w:hAnsi="仿宋" w:eastAsia="仿宋" w:cs="仿宋"/>
          <w:color w:val="000000"/>
          <w:kern w:val="0"/>
          <w:szCs w:val="26"/>
          <w:lang w:val="zh-CN"/>
        </w:rPr>
        <w:t>号文印发）、《个人信用信息基础数据库管理暂行办法》（中国人民银行令〔</w:t>
      </w:r>
      <w:r>
        <w:rPr>
          <w:rFonts w:hint="eastAsia" w:ascii="仿宋" w:hAnsi="仿宋" w:eastAsia="仿宋" w:cs="仿宋"/>
          <w:color w:val="000000"/>
          <w:kern w:val="0"/>
          <w:szCs w:val="30"/>
          <w:lang w:val="zh-CN"/>
        </w:rPr>
        <w:t>2005</w:t>
      </w:r>
      <w:r>
        <w:rPr>
          <w:rFonts w:hint="eastAsia" w:ascii="仿宋" w:hAnsi="仿宋" w:eastAsia="仿宋" w:cs="仿宋"/>
          <w:color w:val="000000"/>
          <w:kern w:val="0"/>
          <w:szCs w:val="26"/>
          <w:lang w:val="zh-CN"/>
        </w:rPr>
        <w:t>〕第</w:t>
      </w:r>
      <w:r>
        <w:rPr>
          <w:rFonts w:hint="eastAsia" w:ascii="仿宋" w:hAnsi="仿宋" w:eastAsia="仿宋" w:cs="仿宋"/>
          <w:color w:val="000000"/>
          <w:kern w:val="0"/>
          <w:szCs w:val="30"/>
          <w:lang w:val="zh-CN"/>
        </w:rPr>
        <w:t>3</w:t>
      </w:r>
      <w:r>
        <w:rPr>
          <w:rFonts w:hint="eastAsia" w:ascii="仿宋" w:hAnsi="仿宋" w:eastAsia="仿宋" w:cs="仿宋"/>
          <w:color w:val="000000"/>
          <w:kern w:val="0"/>
          <w:szCs w:val="26"/>
          <w:lang w:val="zh-CN"/>
        </w:rPr>
        <w:t>号发布），现就个人所得税住房贷款利息专项附加扣除相关信息归集（以下简称信息归集）有关事项通知如下：</w:t>
      </w:r>
    </w:p>
    <w:p>
      <w:pPr>
        <w:autoSpaceDE w:val="0"/>
        <w:autoSpaceDN w:val="0"/>
        <w:adjustRightInd w:val="0"/>
        <w:snapToGrid w:val="0"/>
        <w:spacing w:line="312" w:lineRule="auto"/>
        <w:ind w:firstLine="420" w:firstLineChars="200"/>
        <w:rPr>
          <w:rFonts w:hint="eastAsia" w:ascii="仿宋" w:hAnsi="仿宋" w:eastAsia="仿宋" w:cs="仿宋"/>
          <w:b/>
          <w:color w:val="000000"/>
          <w:kern w:val="0"/>
          <w:szCs w:val="30"/>
          <w:lang w:val="zh-CN"/>
        </w:rPr>
      </w:pPr>
      <w:r>
        <w:rPr>
          <w:rFonts w:hint="eastAsia" w:ascii="仿宋" w:hAnsi="仿宋" w:eastAsia="仿宋" w:cs="仿宋"/>
          <w:b/>
          <w:color w:val="000000"/>
          <w:kern w:val="0"/>
          <w:szCs w:val="30"/>
          <w:lang w:val="zh-CN"/>
        </w:rPr>
        <w:t>一、信息归集范围</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6"/>
          <w:lang w:val="zh-CN"/>
        </w:rPr>
      </w:pPr>
      <w:r>
        <w:rPr>
          <w:rFonts w:hint="eastAsia" w:ascii="仿宋" w:hAnsi="仿宋" w:eastAsia="仿宋" w:cs="仿宋"/>
          <w:color w:val="000000"/>
          <w:kern w:val="0"/>
          <w:szCs w:val="26"/>
          <w:lang w:val="zh-CN"/>
        </w:rPr>
        <w:t>信息归集的住房贷款为</w:t>
      </w:r>
      <w:r>
        <w:rPr>
          <w:rFonts w:hint="eastAsia" w:ascii="仿宋" w:hAnsi="仿宋" w:eastAsia="仿宋" w:cs="仿宋"/>
          <w:color w:val="000000"/>
          <w:kern w:val="0"/>
          <w:szCs w:val="30"/>
          <w:lang w:val="zh-CN"/>
        </w:rPr>
        <w:t>1989</w:t>
      </w:r>
      <w:r>
        <w:rPr>
          <w:rFonts w:hint="eastAsia" w:ascii="仿宋" w:hAnsi="仿宋" w:eastAsia="仿宋" w:cs="仿宋"/>
          <w:color w:val="000000"/>
          <w:kern w:val="0"/>
          <w:szCs w:val="26"/>
          <w:lang w:val="zh-CN"/>
        </w:rPr>
        <w:t>年</w:t>
      </w:r>
      <w:r>
        <w:rPr>
          <w:rFonts w:hint="eastAsia" w:ascii="仿宋" w:hAnsi="仿宋" w:eastAsia="仿宋" w:cs="仿宋"/>
          <w:color w:val="000000"/>
          <w:kern w:val="0"/>
          <w:szCs w:val="30"/>
          <w:lang w:val="zh-CN"/>
        </w:rPr>
        <w:t>1</w:t>
      </w:r>
      <w:r>
        <w:rPr>
          <w:rFonts w:hint="eastAsia" w:ascii="仿宋" w:hAnsi="仿宋" w:eastAsia="仿宋" w:cs="仿宋"/>
          <w:color w:val="000000"/>
          <w:kern w:val="0"/>
          <w:szCs w:val="26"/>
          <w:lang w:val="zh-CN"/>
        </w:rPr>
        <w:t>月</w:t>
      </w:r>
      <w:r>
        <w:rPr>
          <w:rFonts w:hint="eastAsia" w:ascii="仿宋" w:hAnsi="仿宋" w:eastAsia="仿宋" w:cs="仿宋"/>
          <w:color w:val="000000"/>
          <w:kern w:val="0"/>
          <w:szCs w:val="30"/>
          <w:lang w:val="zh-CN"/>
        </w:rPr>
        <w:t>1</w:t>
      </w:r>
      <w:r>
        <w:rPr>
          <w:rFonts w:hint="eastAsia" w:ascii="仿宋" w:hAnsi="仿宋" w:eastAsia="仿宋" w:cs="仿宋"/>
          <w:color w:val="000000"/>
          <w:kern w:val="0"/>
          <w:szCs w:val="26"/>
          <w:lang w:val="zh-CN"/>
        </w:rPr>
        <w:t>日（含）之后发放的商业性个人住房贷款，不包括个人商用房（含商住两用房）贷款。</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6"/>
          <w:lang w:val="zh-CN"/>
        </w:rPr>
      </w:pPr>
      <w:r>
        <w:rPr>
          <w:rFonts w:hint="eastAsia" w:ascii="仿宋" w:hAnsi="仿宋" w:eastAsia="仿宋" w:cs="仿宋"/>
          <w:color w:val="000000"/>
          <w:kern w:val="0"/>
          <w:szCs w:val="26"/>
          <w:lang w:val="zh-CN"/>
        </w:rPr>
        <w:t>信息归集的数据项包括“借款人姓名”、“证件类型及号码”、“贷款银行”、“贷款合同编号”、“是否为首套住房贷款”、“贷款类型”、“开户日期”、“到期日期”、“首次还款日期”、“是否已结清”和“结清日期”。</w:t>
      </w:r>
    </w:p>
    <w:p>
      <w:pPr>
        <w:autoSpaceDE w:val="0"/>
        <w:autoSpaceDN w:val="0"/>
        <w:adjustRightInd w:val="0"/>
        <w:snapToGrid w:val="0"/>
        <w:spacing w:line="312" w:lineRule="auto"/>
        <w:ind w:firstLine="420" w:firstLineChars="200"/>
        <w:rPr>
          <w:rFonts w:hint="eastAsia" w:ascii="仿宋" w:hAnsi="仿宋" w:eastAsia="仿宋" w:cs="仿宋"/>
          <w:b/>
          <w:color w:val="000000"/>
          <w:kern w:val="0"/>
          <w:szCs w:val="26"/>
          <w:lang w:val="zh-CN"/>
        </w:rPr>
      </w:pPr>
      <w:r>
        <w:rPr>
          <w:rFonts w:hint="eastAsia" w:ascii="仿宋" w:hAnsi="仿宋" w:eastAsia="仿宋" w:cs="仿宋"/>
          <w:color w:val="000000"/>
          <w:kern w:val="0"/>
          <w:szCs w:val="26"/>
          <w:lang w:val="zh-CN"/>
        </w:rPr>
        <w:t>个人住房公积金贷款信息由其主管部门负责归集。</w:t>
      </w:r>
    </w:p>
    <w:p>
      <w:pPr>
        <w:autoSpaceDE w:val="0"/>
        <w:autoSpaceDN w:val="0"/>
        <w:adjustRightInd w:val="0"/>
        <w:snapToGrid w:val="0"/>
        <w:spacing w:line="312" w:lineRule="auto"/>
        <w:ind w:firstLine="420" w:firstLineChars="200"/>
        <w:rPr>
          <w:rFonts w:hint="eastAsia" w:ascii="仿宋" w:hAnsi="仿宋" w:eastAsia="仿宋" w:cs="仿宋"/>
          <w:b/>
          <w:color w:val="000000"/>
          <w:kern w:val="0"/>
          <w:szCs w:val="30"/>
          <w:lang w:val="zh-CN"/>
        </w:rPr>
      </w:pPr>
      <w:r>
        <w:rPr>
          <w:rFonts w:hint="eastAsia" w:ascii="仿宋" w:hAnsi="仿宋" w:eastAsia="仿宋" w:cs="仿宋"/>
          <w:b/>
          <w:color w:val="000000"/>
          <w:kern w:val="0"/>
          <w:szCs w:val="30"/>
          <w:lang w:val="zh-CN"/>
        </w:rPr>
        <w:t>二、信息归集方式</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6"/>
          <w:lang w:val="zh-CN"/>
        </w:rPr>
      </w:pPr>
      <w:r>
        <w:rPr>
          <w:rFonts w:hint="eastAsia" w:ascii="仿宋" w:hAnsi="仿宋" w:eastAsia="仿宋" w:cs="仿宋"/>
          <w:color w:val="000000"/>
          <w:kern w:val="0"/>
          <w:szCs w:val="26"/>
          <w:lang w:val="zh-CN"/>
        </w:rPr>
        <w:t>依托人民银行征信系统（以下简称征信系统），在目前已采集的商业性个人住房贷款信息基础上，增加采集“贷款合同编号”和“是否为首套住房贷款”两个数据项。</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26"/>
          <w:lang w:val="zh-CN"/>
        </w:rPr>
      </w:pPr>
      <w:r>
        <w:rPr>
          <w:rFonts w:hint="eastAsia" w:ascii="仿宋" w:hAnsi="仿宋" w:eastAsia="仿宋" w:cs="仿宋"/>
          <w:color w:val="000000"/>
          <w:kern w:val="0"/>
          <w:szCs w:val="26"/>
          <w:lang w:val="zh-CN"/>
        </w:rPr>
        <w:t>（一）“是否为首套住房贷款”填报规则。</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26"/>
          <w:lang w:val="zh-CN"/>
        </w:rPr>
        <w:t>“是否为首套住房贷款”的判断以差别化住房信贷政策的发布时间为分界点。</w:t>
      </w:r>
      <w:r>
        <w:rPr>
          <w:rFonts w:hint="eastAsia" w:ascii="仿宋" w:hAnsi="仿宋" w:eastAsia="仿宋" w:cs="仿宋"/>
          <w:color w:val="000000"/>
          <w:kern w:val="0"/>
          <w:szCs w:val="30"/>
          <w:lang w:val="zh-CN"/>
        </w:rPr>
        <w:t>2003</w:t>
      </w:r>
      <w:r>
        <w:rPr>
          <w:rFonts w:hint="eastAsia" w:ascii="仿宋" w:hAnsi="仿宋" w:eastAsia="仿宋" w:cs="仿宋"/>
          <w:color w:val="000000"/>
          <w:kern w:val="0"/>
          <w:szCs w:val="26"/>
          <w:lang w:val="zh-CN"/>
        </w:rPr>
        <w:t>年</w:t>
      </w:r>
      <w:r>
        <w:rPr>
          <w:rFonts w:hint="eastAsia" w:ascii="仿宋" w:hAnsi="仿宋" w:eastAsia="仿宋" w:cs="仿宋"/>
          <w:color w:val="000000"/>
          <w:kern w:val="0"/>
          <w:szCs w:val="30"/>
          <w:lang w:val="zh-CN"/>
        </w:rPr>
        <w:t>6</w:t>
      </w:r>
      <w:r>
        <w:rPr>
          <w:rFonts w:hint="eastAsia" w:ascii="仿宋" w:hAnsi="仿宋" w:eastAsia="仿宋" w:cs="仿宋"/>
          <w:color w:val="000000"/>
          <w:kern w:val="0"/>
          <w:szCs w:val="26"/>
          <w:lang w:val="zh-CN"/>
        </w:rPr>
        <w:t>月</w:t>
      </w:r>
      <w:r>
        <w:rPr>
          <w:rFonts w:hint="eastAsia" w:ascii="仿宋" w:hAnsi="仿宋" w:eastAsia="仿宋" w:cs="仿宋"/>
          <w:color w:val="000000"/>
          <w:kern w:val="0"/>
          <w:szCs w:val="30"/>
          <w:lang w:val="zh-CN"/>
        </w:rPr>
        <w:t>6</w:t>
      </w:r>
      <w:r>
        <w:rPr>
          <w:rFonts w:hint="eastAsia" w:ascii="仿宋" w:hAnsi="仿宋" w:eastAsia="仿宋" w:cs="仿宋"/>
          <w:color w:val="000000"/>
          <w:kern w:val="0"/>
          <w:szCs w:val="26"/>
          <w:lang w:val="zh-CN"/>
        </w:rPr>
        <w:t>日，人民银行发布《中国人民银行关于进一步加强房地产信贷业务管理的通知》（银发〔</w:t>
      </w:r>
      <w:r>
        <w:rPr>
          <w:rFonts w:hint="eastAsia" w:ascii="仿宋" w:hAnsi="仿宋" w:eastAsia="仿宋" w:cs="仿宋"/>
          <w:color w:val="000000"/>
          <w:kern w:val="0"/>
          <w:szCs w:val="30"/>
          <w:lang w:val="zh-CN"/>
        </w:rPr>
        <w:t>2003</w:t>
      </w:r>
      <w:r>
        <w:rPr>
          <w:rFonts w:hint="eastAsia" w:ascii="仿宋" w:hAnsi="仿宋" w:eastAsia="仿宋" w:cs="仿宋"/>
          <w:color w:val="000000"/>
          <w:kern w:val="0"/>
          <w:szCs w:val="26"/>
          <w:lang w:val="zh-CN"/>
        </w:rPr>
        <w:t>〕</w:t>
      </w:r>
      <w:r>
        <w:rPr>
          <w:rFonts w:hint="eastAsia" w:ascii="仿宋" w:hAnsi="仿宋" w:eastAsia="仿宋" w:cs="仿宋"/>
          <w:color w:val="000000"/>
          <w:kern w:val="0"/>
          <w:szCs w:val="30"/>
          <w:lang w:val="zh-CN"/>
        </w:rPr>
        <w:t>121</w:t>
      </w:r>
      <w:r>
        <w:rPr>
          <w:rFonts w:hint="eastAsia" w:ascii="仿宋" w:hAnsi="仿宋" w:eastAsia="仿宋" w:cs="仿宋"/>
          <w:color w:val="000000"/>
          <w:kern w:val="0"/>
          <w:szCs w:val="26"/>
          <w:lang w:val="zh-CN"/>
        </w:rPr>
        <w:t>号），开始执行差别化住房信贷政策，要求全国各地区的商业银行对借款人购买第一套自住住房和第二套（含）以上住房，执行差</w:t>
      </w:r>
      <w:r>
        <w:rPr>
          <w:rFonts w:hint="eastAsia" w:ascii="仿宋" w:hAnsi="仿宋" w:eastAsia="仿宋" w:cs="仿宋"/>
          <w:color w:val="000000"/>
          <w:kern w:val="0"/>
          <w:szCs w:val="30"/>
          <w:lang w:val="zh-CN"/>
        </w:rPr>
        <w:t>别化的首付款比例和利率政策。</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贷款发放日期在</w:t>
      </w:r>
      <w:r>
        <w:rPr>
          <w:rFonts w:hint="eastAsia" w:ascii="仿宋" w:hAnsi="仿宋" w:eastAsia="仿宋" w:cs="仿宋"/>
          <w:color w:val="000000"/>
          <w:kern w:val="0"/>
          <w:szCs w:val="32"/>
          <w:lang w:val="zh-CN"/>
        </w:rPr>
        <w:t>2003</w:t>
      </w:r>
      <w:r>
        <w:rPr>
          <w:rFonts w:hint="eastAsia" w:ascii="仿宋" w:hAnsi="仿宋" w:eastAsia="仿宋" w:cs="仿宋"/>
          <w:color w:val="000000"/>
          <w:kern w:val="0"/>
          <w:szCs w:val="30"/>
          <w:lang w:val="zh-CN"/>
        </w:rPr>
        <w:t>年</w:t>
      </w:r>
      <w:r>
        <w:rPr>
          <w:rFonts w:hint="eastAsia" w:ascii="仿宋" w:hAnsi="仿宋" w:eastAsia="仿宋" w:cs="仿宋"/>
          <w:color w:val="000000"/>
          <w:kern w:val="0"/>
          <w:szCs w:val="32"/>
          <w:lang w:val="zh-CN"/>
        </w:rPr>
        <w:t>6</w:t>
      </w:r>
      <w:r>
        <w:rPr>
          <w:rFonts w:hint="eastAsia" w:ascii="仿宋" w:hAnsi="仿宋" w:eastAsia="仿宋" w:cs="仿宋"/>
          <w:color w:val="000000"/>
          <w:kern w:val="0"/>
          <w:szCs w:val="30"/>
          <w:lang w:val="zh-CN"/>
        </w:rPr>
        <w:t>月</w:t>
      </w:r>
      <w:r>
        <w:rPr>
          <w:rFonts w:hint="eastAsia" w:ascii="仿宋" w:hAnsi="仿宋" w:eastAsia="仿宋" w:cs="仿宋"/>
          <w:color w:val="000000"/>
          <w:kern w:val="0"/>
          <w:szCs w:val="32"/>
          <w:lang w:val="zh-CN"/>
        </w:rPr>
        <w:t>6</w:t>
      </w:r>
      <w:r>
        <w:rPr>
          <w:rFonts w:hint="eastAsia" w:ascii="仿宋" w:hAnsi="仿宋" w:eastAsia="仿宋" w:cs="仿宋"/>
          <w:color w:val="000000"/>
          <w:kern w:val="0"/>
          <w:szCs w:val="30"/>
          <w:lang w:val="zh-CN"/>
        </w:rPr>
        <w:t>日（含）之后的，根据当时发放贷款的历史时点的差别化住房信贷政策以及所在地区在该历史时点发布的相关住房信贷政策执行标准判断“是否为首套住房贷款”。具体填报规则如下：</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报</w:t>
      </w:r>
      <w:r>
        <w:rPr>
          <w:rFonts w:hint="eastAsia" w:ascii="仿宋" w:hAnsi="仿宋" w:eastAsia="仿宋" w:cs="仿宋"/>
          <w:color w:val="000000"/>
          <w:kern w:val="0"/>
          <w:szCs w:val="32"/>
          <w:lang w:val="zh-CN"/>
        </w:rPr>
        <w:t>“01-</w:t>
      </w:r>
      <w:r>
        <w:rPr>
          <w:rFonts w:hint="eastAsia" w:ascii="仿宋" w:hAnsi="仿宋" w:eastAsia="仿宋" w:cs="仿宋"/>
          <w:color w:val="000000"/>
          <w:kern w:val="0"/>
          <w:szCs w:val="30"/>
          <w:lang w:val="zh-CN"/>
        </w:rPr>
        <w:t>是”：商业银行在发放贷款的历史时点认定是首套住房贷款。</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报</w:t>
      </w:r>
      <w:r>
        <w:rPr>
          <w:rFonts w:hint="eastAsia" w:ascii="仿宋" w:hAnsi="仿宋" w:eastAsia="仿宋" w:cs="仿宋"/>
          <w:color w:val="000000"/>
          <w:kern w:val="0"/>
          <w:szCs w:val="32"/>
          <w:lang w:val="zh-CN"/>
        </w:rPr>
        <w:t>“02</w:t>
      </w:r>
      <w:r>
        <w:rPr>
          <w:rFonts w:hint="eastAsia" w:ascii="仿宋" w:hAnsi="仿宋" w:eastAsia="仿宋" w:cs="仿宋"/>
          <w:color w:val="000000"/>
          <w:kern w:val="0"/>
          <w:szCs w:val="30"/>
          <w:lang w:val="zh-CN"/>
        </w:rPr>
        <w:t>-否”：商业银行在发放贷款的历史时点认定不是首套住房贷款。</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贷款发放日期在</w:t>
      </w:r>
      <w:r>
        <w:rPr>
          <w:rFonts w:hint="eastAsia" w:ascii="仿宋" w:hAnsi="仿宋" w:eastAsia="仿宋" w:cs="仿宋"/>
          <w:color w:val="000000"/>
          <w:kern w:val="0"/>
          <w:szCs w:val="32"/>
          <w:lang w:val="zh-CN"/>
        </w:rPr>
        <w:t>2003</w:t>
      </w:r>
      <w:r>
        <w:rPr>
          <w:rFonts w:hint="eastAsia" w:ascii="仿宋" w:hAnsi="仿宋" w:eastAsia="仿宋" w:cs="仿宋"/>
          <w:color w:val="000000"/>
          <w:kern w:val="0"/>
          <w:szCs w:val="30"/>
          <w:lang w:val="zh-CN"/>
        </w:rPr>
        <w:t>年</w:t>
      </w:r>
      <w:r>
        <w:rPr>
          <w:rFonts w:hint="eastAsia" w:ascii="仿宋" w:hAnsi="仿宋" w:eastAsia="仿宋" w:cs="仿宋"/>
          <w:color w:val="000000"/>
          <w:kern w:val="0"/>
          <w:szCs w:val="32"/>
          <w:lang w:val="zh-CN"/>
        </w:rPr>
        <w:t>6</w:t>
      </w:r>
      <w:r>
        <w:rPr>
          <w:rFonts w:hint="eastAsia" w:ascii="仿宋" w:hAnsi="仿宋" w:eastAsia="仿宋" w:cs="仿宋"/>
          <w:color w:val="000000"/>
          <w:kern w:val="0"/>
          <w:szCs w:val="30"/>
          <w:lang w:val="zh-CN"/>
        </w:rPr>
        <w:t>月</w:t>
      </w:r>
      <w:r>
        <w:rPr>
          <w:rFonts w:hint="eastAsia" w:ascii="仿宋" w:hAnsi="仿宋" w:eastAsia="仿宋" w:cs="仿宋"/>
          <w:color w:val="000000"/>
          <w:kern w:val="0"/>
          <w:szCs w:val="32"/>
          <w:lang w:val="zh-CN"/>
        </w:rPr>
        <w:t>5</w:t>
      </w:r>
      <w:r>
        <w:rPr>
          <w:rFonts w:hint="eastAsia" w:ascii="仿宋" w:hAnsi="仿宋" w:eastAsia="仿宋" w:cs="仿宋"/>
          <w:color w:val="000000"/>
          <w:kern w:val="0"/>
          <w:szCs w:val="30"/>
          <w:lang w:val="zh-CN"/>
        </w:rPr>
        <w:t>日（含）之前的，报</w:t>
      </w:r>
      <w:r>
        <w:rPr>
          <w:rFonts w:hint="eastAsia" w:ascii="仿宋" w:hAnsi="仿宋" w:eastAsia="仿宋" w:cs="仿宋"/>
          <w:color w:val="000000"/>
          <w:kern w:val="0"/>
          <w:szCs w:val="32"/>
          <w:lang w:val="zh-CN"/>
        </w:rPr>
        <w:t>“04</w:t>
      </w:r>
      <w:r>
        <w:rPr>
          <w:rFonts w:hint="eastAsia" w:ascii="仿宋" w:hAnsi="仿宋" w:eastAsia="仿宋" w:cs="仿宋"/>
          <w:color w:val="000000"/>
          <w:kern w:val="0"/>
          <w:szCs w:val="30"/>
          <w:lang w:val="zh-CN"/>
        </w:rPr>
        <w:t>-未发布差别化住房信贷政策”。</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（二）“贷款合同编号”填报规则。</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贷款合同编号”须填报行内能唯一定位一笔贷款业务的账号，原则上优先填报商业银行与借款人签订的纸质贷款合同编号。若商业银行填报纸质贷款合同编号确实有困难的，或者纸质贷款合同编号不能唯一定位一笔贷款业务的，可报送行内能唯一定位一笔贷款业务的其他账号；无论该账号与已经报送征信系统的“业务号”是否相同，均须通过职业段的“工资账号”字段报送。该字段的长度为</w:t>
      </w:r>
      <w:r>
        <w:rPr>
          <w:rFonts w:hint="eastAsia" w:ascii="仿宋" w:hAnsi="仿宋" w:eastAsia="仿宋" w:cs="仿宋"/>
          <w:color w:val="000000"/>
          <w:kern w:val="0"/>
          <w:szCs w:val="32"/>
          <w:lang w:val="zh-CN"/>
        </w:rPr>
        <w:t>40</w:t>
      </w:r>
      <w:r>
        <w:rPr>
          <w:rFonts w:hint="eastAsia" w:ascii="仿宋" w:hAnsi="仿宋" w:eastAsia="仿宋" w:cs="仿宋"/>
          <w:color w:val="000000"/>
          <w:kern w:val="0"/>
          <w:szCs w:val="30"/>
          <w:lang w:val="zh-CN"/>
        </w:rPr>
        <w:t>个字节（中文占用</w:t>
      </w:r>
      <w:r>
        <w:rPr>
          <w:rFonts w:hint="eastAsia" w:ascii="仿宋" w:hAnsi="仿宋" w:eastAsia="仿宋" w:cs="仿宋"/>
          <w:color w:val="000000"/>
          <w:kern w:val="0"/>
          <w:szCs w:val="32"/>
          <w:lang w:val="zh-CN"/>
        </w:rPr>
        <w:t>2</w:t>
      </w:r>
      <w:r>
        <w:rPr>
          <w:rFonts w:hint="eastAsia" w:ascii="仿宋" w:hAnsi="仿宋" w:eastAsia="仿宋" w:cs="仿宋"/>
          <w:color w:val="000000"/>
          <w:kern w:val="0"/>
          <w:szCs w:val="30"/>
          <w:lang w:val="zh-CN"/>
        </w:rPr>
        <w:t>个字节），商业银行报送的“贷款合同编号”超过该长度的，截取</w:t>
      </w:r>
      <w:r>
        <w:rPr>
          <w:rFonts w:hint="eastAsia" w:ascii="仿宋" w:hAnsi="仿宋" w:eastAsia="仿宋" w:cs="仿宋"/>
          <w:color w:val="000000"/>
          <w:kern w:val="0"/>
          <w:szCs w:val="32"/>
          <w:lang w:val="zh-CN"/>
        </w:rPr>
        <w:t>40</w:t>
      </w:r>
      <w:r>
        <w:rPr>
          <w:rFonts w:hint="eastAsia" w:ascii="仿宋" w:hAnsi="仿宋" w:eastAsia="仿宋" w:cs="仿宋"/>
          <w:color w:val="000000"/>
          <w:kern w:val="0"/>
          <w:szCs w:val="30"/>
          <w:lang w:val="zh-CN"/>
        </w:rPr>
        <w:t>个字节报送，并确保能唯一定位一笔贷款业务。</w:t>
      </w:r>
    </w:p>
    <w:p>
      <w:pPr>
        <w:autoSpaceDE w:val="0"/>
        <w:autoSpaceDN w:val="0"/>
        <w:adjustRightInd w:val="0"/>
        <w:snapToGrid w:val="0"/>
        <w:spacing w:line="312" w:lineRule="auto"/>
        <w:ind w:firstLine="420" w:firstLineChars="200"/>
        <w:rPr>
          <w:rFonts w:hint="eastAsia" w:ascii="仿宋" w:hAnsi="仿宋" w:eastAsia="仿宋" w:cs="仿宋"/>
          <w:b/>
          <w:color w:val="000000"/>
          <w:kern w:val="0"/>
          <w:szCs w:val="30"/>
          <w:lang w:val="zh-CN"/>
        </w:rPr>
      </w:pPr>
      <w:r>
        <w:rPr>
          <w:rFonts w:hint="eastAsia" w:ascii="仿宋" w:hAnsi="仿宋" w:eastAsia="仿宋" w:cs="仿宋"/>
          <w:b/>
          <w:color w:val="000000"/>
          <w:kern w:val="0"/>
          <w:szCs w:val="30"/>
          <w:lang w:val="zh-CN"/>
        </w:rPr>
        <w:t>三、工作安排</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各商业银行要认真做好数据报送前的准备工作，包括建立健全工作机制和配套制度，改造征信数据报送程序，对信息归集的数据项进行重点核查清理，及时补报漏报的数据，更正已报入征信系统的错误数据。</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各商业银行于2019年3月31日前向征信系统报送信息归集的数据，包括补报存量数据和上报增量数据。</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补报存量数据指补报增加采集的“是否为首套住房贷款”和“贷款合同编号”两个数据项。存量数据的范围为贷款发放日期在1989年1月1日（含）至2019年2月28日（含）之间，且在2018年12月31日仍未结清的商业性个人住房贷款。存量数据补报工作应于2019年3月31日前完成。</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上报增量数据指报送新发放的整笔贷款业务，包括增加采集的“是否为首套住房贷款”和“贷款合同编号”两个数据项。增量数据的范围为2019年3月1日（含）之后新发放的商业性个人住房贷款。增量数据的报送频率按照征信系统信贷数据采集接口规范对正常报文的要求执行。</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发生呆账、核销、资产处置等情况的商业性个人住房贷款均须予以报送。</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各商业银行应建立异议处理机制。借款人认为商业银行提供的个人住房贷款归集信息存在错误遗漏的，可以向商业银行提出异议，要求更正。经核查确属报送错误的，商业银行应及时更正。</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四、向借款人提供咨询服务</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商业银行应向借款人提供关于“是否为首套住房贷款”和“贷款合同编号”信息的咨询服务。</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（一）咨询“是否为首套住房贷款”。</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对于1989年1月1日（含）至2003年6月5日（含）之间发放的商业性个人住房贷款，商业银行可告知借款人该期间未发布差别化住房信贷政策，没有首套住房贷款的概念，由借款人自己按照是否是家庭的首次住房贷款进行判断。借款人可查看本人及配偶手中的商业性个人住房贷款合同和个人公积金住房贷款合同，比对贷款的发放日期，发放日期最早的那笔贷款若在2018年12月31日仍未结清，就是首次个人住房贷款，可参照首套住房贷款，依法享受个人所得稅专项附加扣除政策。对于2003年6月6日（含）之后发放的商业性个人住房贷款，商业银行无法实时答复借款人的，应做好解释工作，并在查询相关住房贷款档案后给予回复。</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商业银行在信息归集中确实无法填报住房贷款相关数据，但能确认住房贷款真实存在的，应向借款人提供相关信息。信息内容包括但不限于借款人姓名、证件类型及号码、贷款余额、贷款期限、剩余还款时间、是否结清等信息，须加盖公章，提供给借款人留存备查。</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（二）咨询“贷款合同编号”。</w:t>
      </w:r>
    </w:p>
    <w:p>
      <w:pPr>
        <w:autoSpaceDE w:val="0"/>
        <w:autoSpaceDN w:val="0"/>
        <w:adjustRightInd w:val="0"/>
        <w:snapToGrid w:val="0"/>
        <w:spacing w:line="312" w:lineRule="auto"/>
        <w:ind w:firstLine="420" w:firstLineChars="200"/>
        <w:rPr>
          <w:rFonts w:hint="eastAsia" w:ascii="仿宋" w:hAnsi="仿宋" w:eastAsia="仿宋" w:cs="仿宋"/>
          <w:b/>
          <w:color w:val="000000"/>
          <w:kern w:val="0"/>
          <w:szCs w:val="30"/>
          <w:lang w:val="zh-CN"/>
        </w:rPr>
      </w:pPr>
      <w:r>
        <w:rPr>
          <w:rFonts w:hint="eastAsia" w:ascii="仿宋" w:hAnsi="仿宋" w:eastAsia="仿宋" w:cs="仿宋"/>
          <w:color w:val="000000"/>
          <w:kern w:val="0"/>
          <w:szCs w:val="30"/>
          <w:lang w:val="zh-CN"/>
        </w:rPr>
        <w:t>商业银行应及时通过短信、电话、网银、APP、宫方网站等多种形式告知借款人获取“贷款合同编号”的途径和填写方式。</w:t>
      </w:r>
    </w:p>
    <w:p>
      <w:pPr>
        <w:autoSpaceDE w:val="0"/>
        <w:autoSpaceDN w:val="0"/>
        <w:adjustRightInd w:val="0"/>
        <w:snapToGrid w:val="0"/>
        <w:spacing w:line="312" w:lineRule="auto"/>
        <w:ind w:firstLine="420" w:firstLineChars="200"/>
        <w:rPr>
          <w:rFonts w:hint="eastAsia" w:ascii="仿宋" w:hAnsi="仿宋" w:eastAsia="仿宋" w:cs="仿宋"/>
          <w:b/>
          <w:color w:val="000000"/>
          <w:kern w:val="0"/>
          <w:szCs w:val="30"/>
          <w:lang w:val="zh-CN"/>
        </w:rPr>
      </w:pPr>
      <w:r>
        <w:rPr>
          <w:rFonts w:hint="eastAsia" w:ascii="仿宋" w:hAnsi="仿宋" w:eastAsia="仿宋" w:cs="仿宋"/>
          <w:b/>
          <w:color w:val="000000"/>
          <w:kern w:val="0"/>
          <w:szCs w:val="30"/>
          <w:lang w:val="zh-CN"/>
        </w:rPr>
        <w:t>五、注意事项</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信息归集工作时间紧、任务重、要求高，各商业银行要高度重视，充分认识贯彻施行《个人所得稅专项附加扣除暂行办法》的重要性和紧迫性，切实加强组织领导，务必在规定时间内做好各项工作。</w:t>
      </w:r>
    </w:p>
    <w:p>
      <w:pP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r>
        <w:rPr>
          <w:rFonts w:hint="eastAsia" w:ascii="仿宋" w:hAnsi="仿宋" w:eastAsia="仿宋" w:cs="仿宋"/>
          <w:color w:val="000000"/>
          <w:kern w:val="0"/>
          <w:szCs w:val="30"/>
          <w:lang w:val="zh-CN"/>
        </w:rPr>
        <w:t>请人民银行上海总部，各分行、营业管理部，各省会（首府）城市中心支行，各副省级城市中心支行及时将本通知转发至辖区内发放商业性个人住房贷款的城市商业银行、农村商业银行、农村合作银行、村镇银行、城市信用社、农村信用社和外资银行，并督促做好数据报送、异议处理等工作。</w:t>
      </w:r>
    </w:p>
    <w:p>
      <w:pPr>
        <w:pBdr>
          <w:bottom w:val="single" w:color="auto" w:sz="6" w:space="1"/>
        </w:pBdr>
        <w:autoSpaceDE w:val="0"/>
        <w:autoSpaceDN w:val="0"/>
        <w:adjustRightInd w:val="0"/>
        <w:snapToGrid w:val="0"/>
        <w:spacing w:line="312" w:lineRule="auto"/>
        <w:ind w:firstLine="420" w:firstLineChars="200"/>
        <w:rPr>
          <w:rFonts w:hint="eastAsia" w:ascii="仿宋" w:hAnsi="仿宋" w:eastAsia="仿宋" w:cs="仿宋"/>
          <w:color w:val="000000"/>
          <w:kern w:val="0"/>
          <w:szCs w:val="30"/>
          <w:lang w:val="zh-CN"/>
        </w:rPr>
      </w:pPr>
    </w:p>
    <w:p>
      <w:pPr>
        <w:widowControl/>
        <w:jc w:val="left"/>
        <w:rPr>
          <w:rFonts w:hint="eastAsia" w:ascii="仿宋" w:hAnsi="仿宋" w:eastAsia="仿宋" w:cs="仿宋"/>
        </w:rPr>
      </w:pPr>
      <w:r>
        <w:rPr>
          <w:rFonts w:hint="eastAsia" w:ascii="仿宋" w:hAnsi="仿宋" w:eastAsia="仿宋" w:cs="仿宋"/>
        </w:rPr>
        <w:br w:type="page"/>
      </w:r>
    </w:p>
    <w:p>
      <w:pPr>
        <w:widowControl/>
        <w:adjustRightInd w:val="0"/>
        <w:snapToGrid w:val="0"/>
        <w:spacing w:line="312" w:lineRule="auto"/>
        <w:ind w:firstLine="422"/>
        <w:rPr>
          <w:rFonts w:hint="eastAsia" w:ascii="仿宋" w:hAnsi="仿宋" w:eastAsia="仿宋" w:cs="仿宋"/>
          <w:b/>
          <w:kern w:val="0"/>
          <w:szCs w:val="24"/>
        </w:rPr>
      </w:pPr>
      <w:bookmarkStart w:id="1280" w:name="_Hlk7979063"/>
      <w:r>
        <w:rPr>
          <w:rFonts w:hint="eastAsia" w:ascii="仿宋" w:hAnsi="仿宋" w:eastAsia="仿宋" w:cs="仿宋"/>
          <w:b/>
          <w:kern w:val="0"/>
          <w:szCs w:val="24"/>
        </w:rPr>
        <w:t>特急</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