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92" w:name="_Toc9039"/>
      <w:bookmarkStart w:id="1393" w:name="_Hlk159655081"/>
      <w:r>
        <w:rPr>
          <w:rFonts w:hint="eastAsia"/>
        </w:rPr>
        <w:t>531.2--上海票据交易所关于发布《商业汇票信息披露操作细则》的公告</w:t>
      </w:r>
      <w:r>
        <w:br w:type="textWrapping"/>
      </w:r>
      <w:r>
        <w:rPr>
          <w:rFonts w:hint="eastAsia"/>
        </w:rPr>
        <w:t>票交所公告〔</w:t>
      </w:r>
      <w:r>
        <w:t>2022〕1号</w:t>
      </w:r>
      <w:bookmarkEnd w:id="1392"/>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加强商业汇票信用体系建设，规范商业汇票信息披露操作，根据中国人民银行《商业汇票承兑、贴现与再贴现管理办法》及相关法律制度，上海票据交易所制定了《商业汇票信息披露操作细则》（见附件），并经中国人民银行备案，现予公布施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一、《商业汇票信息披露操作细则》自</w:t>
      </w:r>
      <w:r>
        <w:rPr>
          <w:rFonts w:ascii="仿宋" w:hAnsi="仿宋" w:eastAsia="仿宋"/>
        </w:rPr>
        <w:t>2023年1月1日起施行。《商业承兑汇票信息披露操作细则》（票交所公告〔2020〕4号文印发）同时废止。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二、承兑人在信息披露操作过程中如遇问题，请拨打信息披露服务热线：</w:t>
      </w:r>
      <w:r>
        <w:rPr>
          <w:rFonts w:ascii="仿宋" w:hAnsi="仿宋" w:eastAsia="仿宋"/>
        </w:rPr>
        <w:t>021-23139790。</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特此公告。</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附件：商业汇票信息披露操作细则</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上海票据交易所股份有限公司</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2022年11月18日</w:t>
      </w:r>
    </w:p>
    <w:p>
      <w:pPr>
        <w:widowControl/>
        <w:rPr>
          <w:rFonts w:hint="eastAsia" w:ascii="仿宋" w:hAnsi="仿宋" w:eastAsia="仿宋" w:cs="仿宋_GB2312"/>
          <w:szCs w:val="21"/>
        </w:rPr>
      </w:pPr>
    </w:p>
    <w:p>
      <w:pPr>
        <w:adjustRightInd w:val="0"/>
        <w:snapToGrid w:val="0"/>
        <w:spacing w:line="312" w:lineRule="auto"/>
        <w:rPr>
          <w:rFonts w:hint="eastAsia" w:ascii="仿宋" w:hAnsi="仿宋" w:eastAsia="仿宋" w:cs="仿宋_GB2312"/>
          <w:szCs w:val="21"/>
        </w:rPr>
      </w:pPr>
      <w:r>
        <w:rPr>
          <w:rFonts w:hint="eastAsia" w:ascii="仿宋" w:hAnsi="仿宋" w:eastAsia="仿宋" w:cs="仿宋_GB2312"/>
          <w:szCs w:val="21"/>
        </w:rPr>
        <w:t>附件</w:t>
      </w:r>
    </w:p>
    <w:p>
      <w:pPr>
        <w:adjustRightInd w:val="0"/>
        <w:snapToGrid w:val="0"/>
        <w:spacing w:line="312" w:lineRule="auto"/>
        <w:rPr>
          <w:rFonts w:hint="eastAsia" w:ascii="仿宋" w:hAnsi="仿宋" w:eastAsia="仿宋" w:cs="仿宋_GB2312"/>
          <w:szCs w:val="21"/>
        </w:rPr>
      </w:pPr>
    </w:p>
    <w:p>
      <w:pPr>
        <w:adjustRightInd w:val="0"/>
        <w:snapToGrid w:val="0"/>
        <w:spacing w:line="312" w:lineRule="auto"/>
        <w:jc w:val="center"/>
        <w:rPr>
          <w:rFonts w:hint="eastAsia" w:ascii="仿宋" w:hAnsi="仿宋" w:eastAsia="仿宋" w:cs="方正小标宋简体"/>
          <w:szCs w:val="21"/>
        </w:rPr>
      </w:pPr>
      <w:r>
        <w:rPr>
          <w:rFonts w:hint="eastAsia" w:ascii="仿宋" w:hAnsi="仿宋" w:eastAsia="仿宋" w:cs="方正小标宋简体"/>
          <w:szCs w:val="21"/>
        </w:rPr>
        <w:t>商业汇票信息披露操作细则</w:t>
      </w:r>
    </w:p>
    <w:p>
      <w:pPr>
        <w:adjustRightInd w:val="0"/>
        <w:snapToGrid w:val="0"/>
        <w:spacing w:line="312" w:lineRule="auto"/>
        <w:jc w:val="center"/>
        <w:rPr>
          <w:rFonts w:hint="eastAsia" w:ascii="仿宋" w:hAnsi="仿宋" w:eastAsia="仿宋" w:cs="方正小标宋简体"/>
          <w:szCs w:val="21"/>
        </w:rPr>
      </w:pPr>
    </w:p>
    <w:p>
      <w:pPr>
        <w:adjustRightInd w:val="0"/>
        <w:snapToGrid w:val="0"/>
        <w:spacing w:line="312" w:lineRule="auto"/>
        <w:jc w:val="center"/>
        <w:rPr>
          <w:rFonts w:hint="eastAsia" w:ascii="仿宋" w:hAnsi="仿宋" w:eastAsia="仿宋"/>
          <w:szCs w:val="21"/>
          <w:lang w:eastAsia="zh-Hans"/>
        </w:rPr>
      </w:pPr>
      <w:r>
        <w:rPr>
          <w:rFonts w:hint="eastAsia" w:ascii="仿宋" w:hAnsi="仿宋" w:eastAsia="仿宋"/>
          <w:szCs w:val="21"/>
          <w:lang w:eastAsia="zh-Hans"/>
        </w:rPr>
        <w:t>第一章 总则</w:t>
      </w:r>
    </w:p>
    <w:p>
      <w:pPr>
        <w:numPr>
          <w:ilvl w:val="0"/>
          <w:numId w:val="2"/>
        </w:numPr>
        <w:adjustRightInd w:val="0"/>
        <w:snapToGrid w:val="0"/>
        <w:spacing w:line="312" w:lineRule="auto"/>
        <w:ind w:left="0" w:firstLine="422" w:firstLineChars="200"/>
        <w:rPr>
          <w:rFonts w:hint="eastAsia" w:ascii="仿宋" w:hAnsi="仿宋" w:eastAsia="仿宋" w:cs="仿宋_GB2312"/>
          <w:bCs/>
          <w:szCs w:val="21"/>
        </w:rPr>
      </w:pPr>
      <w:r>
        <w:rPr>
          <w:rStyle w:val="37"/>
          <w:rFonts w:hint="eastAsia" w:cs="仿宋_GB2312"/>
        </w:rPr>
        <w:t xml:space="preserve"> </w:t>
      </w:r>
      <w:bookmarkStart w:id="1394" w:name="_Toc31882"/>
      <w:bookmarkStart w:id="1395" w:name="_Toc25057"/>
      <w:r>
        <w:rPr>
          <w:rStyle w:val="37"/>
          <w:rFonts w:hint="eastAsia" w:cs="仿宋_GB2312"/>
          <w:b w:val="0"/>
        </w:rPr>
        <w:t>为加强商业汇票信用体系建设，完善市场化约束机制，保障持票人合法权益</w:t>
      </w:r>
      <w:bookmarkEnd w:id="1394"/>
      <w:bookmarkEnd w:id="1395"/>
      <w:r>
        <w:rPr>
          <w:rFonts w:hint="eastAsia" w:ascii="仿宋" w:hAnsi="仿宋" w:eastAsia="仿宋" w:cs="仿宋_GB2312"/>
          <w:bCs/>
          <w:szCs w:val="21"/>
        </w:rPr>
        <w:t>，根据中国人民银行</w:t>
      </w:r>
      <w:r>
        <w:rPr>
          <w:rFonts w:hint="eastAsia" w:ascii="仿宋" w:hAnsi="仿宋" w:eastAsia="仿宋" w:cs="仿宋_GB2312"/>
          <w:bCs/>
          <w:szCs w:val="21"/>
          <w:lang w:eastAsia="zh-Hans"/>
        </w:rPr>
        <w:t>《商业汇票承兑、贴现与再贴现管理办法》</w:t>
      </w:r>
      <w:r>
        <w:rPr>
          <w:rFonts w:ascii="仿宋" w:hAnsi="仿宋" w:eastAsia="仿宋" w:cs="仿宋_GB2312"/>
          <w:bCs/>
          <w:szCs w:val="21"/>
        </w:rPr>
        <w:t>《</w:t>
      </w:r>
      <w:r>
        <w:rPr>
          <w:rFonts w:hint="eastAsia" w:ascii="仿宋" w:hAnsi="仿宋" w:eastAsia="仿宋" w:cs="仿宋_GB2312"/>
          <w:bCs/>
          <w:szCs w:val="21"/>
        </w:rPr>
        <w:t>关于规范商业承兑汇票信息披露的公告</w:t>
      </w:r>
      <w:r>
        <w:rPr>
          <w:rFonts w:ascii="仿宋" w:hAnsi="仿宋" w:eastAsia="仿宋" w:cs="仿宋_GB2312"/>
          <w:bCs/>
          <w:szCs w:val="21"/>
        </w:rPr>
        <w:t>》</w:t>
      </w:r>
      <w:r>
        <w:rPr>
          <w:rFonts w:hint="eastAsia" w:ascii="仿宋" w:hAnsi="仿宋" w:eastAsia="仿宋" w:cs="仿宋_GB2312"/>
          <w:bCs/>
          <w:szCs w:val="21"/>
        </w:rPr>
        <w:t>及相关法律制度，制定本细则。</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 xml:space="preserve"> 上海票据交易所（以下简称票交所）</w:t>
      </w:r>
      <w:r>
        <w:rPr>
          <w:rFonts w:ascii="仿宋" w:hAnsi="仿宋" w:eastAsia="仿宋" w:cs="仿宋_GB2312"/>
          <w:bCs/>
          <w:szCs w:val="21"/>
        </w:rPr>
        <w:t>建设</w:t>
      </w:r>
      <w:r>
        <w:rPr>
          <w:rFonts w:hint="eastAsia" w:ascii="仿宋" w:hAnsi="仿宋" w:eastAsia="仿宋" w:cs="仿宋_GB2312"/>
          <w:bCs/>
          <w:szCs w:val="21"/>
        </w:rPr>
        <w:t>运营</w:t>
      </w:r>
      <w:r>
        <w:rPr>
          <w:rFonts w:ascii="仿宋" w:hAnsi="仿宋" w:eastAsia="仿宋" w:cs="仿宋_GB2312"/>
          <w:bCs/>
          <w:szCs w:val="21"/>
        </w:rPr>
        <w:t>的</w:t>
      </w:r>
      <w:r>
        <w:rPr>
          <w:rStyle w:val="37"/>
          <w:rFonts w:hint="eastAsia"/>
          <w:b w:val="0"/>
        </w:rPr>
        <w:t>票据</w:t>
      </w:r>
      <w:r>
        <w:rPr>
          <w:rFonts w:hint="eastAsia" w:ascii="仿宋" w:hAnsi="仿宋" w:eastAsia="仿宋" w:cs="仿宋_GB2312"/>
          <w:bCs/>
          <w:szCs w:val="21"/>
        </w:rPr>
        <w:t>信息披露平台（http</w:t>
      </w:r>
      <w:r>
        <w:rPr>
          <w:rFonts w:hint="eastAsia" w:ascii="仿宋" w:hAnsi="仿宋" w:eastAsia="仿宋" w:cs="仿宋_GB2312"/>
          <w:bCs/>
          <w:szCs w:val="21"/>
          <w:lang w:eastAsia="zh-Hans"/>
        </w:rPr>
        <w:t>s</w:t>
      </w:r>
      <w:r>
        <w:rPr>
          <w:rFonts w:hint="eastAsia" w:ascii="仿宋" w:hAnsi="仿宋" w:eastAsia="仿宋" w:cs="仿宋_GB2312"/>
          <w:bCs/>
          <w:szCs w:val="21"/>
        </w:rPr>
        <w:t>://disclosure.shcpe.com.cn）</w:t>
      </w:r>
      <w:r>
        <w:rPr>
          <w:rFonts w:ascii="仿宋" w:hAnsi="仿宋" w:eastAsia="仿宋" w:cs="仿宋_GB2312"/>
          <w:bCs/>
          <w:szCs w:val="21"/>
        </w:rPr>
        <w:t>是中国人民银行认可的</w:t>
      </w:r>
      <w:r>
        <w:rPr>
          <w:rFonts w:hint="eastAsia" w:ascii="仿宋" w:hAnsi="仿宋" w:eastAsia="仿宋" w:cs="仿宋_GB2312"/>
          <w:bCs/>
          <w:szCs w:val="21"/>
        </w:rPr>
        <w:t>票据信息披露平台</w:t>
      </w:r>
      <w:r>
        <w:rPr>
          <w:rFonts w:ascii="仿宋" w:hAnsi="仿宋" w:eastAsia="仿宋" w:cs="仿宋_GB2312"/>
          <w:bCs/>
          <w:szCs w:val="21"/>
        </w:rPr>
        <w:t>。</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 xml:space="preserve"> 本细则所称商业汇票包括但不限于商业承兑汇票、财务公司承兑汇票、银行承兑汇票等。</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rPr>
        <w:t xml:space="preserve"> </w:t>
      </w:r>
      <w:r>
        <w:rPr>
          <w:rFonts w:hint="eastAsia" w:ascii="仿宋" w:hAnsi="仿宋" w:eastAsia="仿宋" w:cs="仿宋_GB2312"/>
          <w:bCs/>
          <w:szCs w:val="21"/>
          <w:lang w:eastAsia="zh-Hans"/>
        </w:rPr>
        <w:t>本细则所称承兑是指付款人承诺在商业汇票到期日无条件支付汇票金额的票据行为。承兑相关信息自收款人签收票据日起进行统计。</w:t>
      </w:r>
    </w:p>
    <w:p>
      <w:pPr>
        <w:numPr>
          <w:ilvl w:val="0"/>
          <w:numId w:val="2"/>
        </w:numPr>
        <w:adjustRightInd w:val="0"/>
        <w:snapToGrid w:val="0"/>
        <w:spacing w:line="312" w:lineRule="auto"/>
        <w:ind w:left="0" w:firstLine="420" w:firstLineChars="200"/>
        <w:rPr>
          <w:rStyle w:val="37"/>
          <w:rFonts w:hint="eastAsia"/>
          <w:b w:val="0"/>
        </w:rPr>
      </w:pPr>
      <w:r>
        <w:rPr>
          <w:rFonts w:ascii="仿宋" w:hAnsi="仿宋" w:eastAsia="仿宋" w:cs="仿宋_GB2312"/>
          <w:bCs/>
          <w:szCs w:val="21"/>
        </w:rPr>
        <w:t xml:space="preserve"> </w:t>
      </w:r>
      <w:bookmarkStart w:id="1396" w:name="_Toc21866"/>
      <w:bookmarkStart w:id="1397" w:name="_Toc13130"/>
      <w:r>
        <w:rPr>
          <w:rStyle w:val="37"/>
          <w:rFonts w:hint="eastAsia" w:cs="仿宋_GB2312"/>
          <w:b w:val="0"/>
          <w:lang w:eastAsia="zh-Hans"/>
        </w:rPr>
        <w:t>商业承兑汇票和财务公司承兑汇票承兑人</w:t>
      </w:r>
      <w:r>
        <w:rPr>
          <w:rStyle w:val="37"/>
          <w:rFonts w:hint="eastAsia" w:cs="仿宋_GB2312"/>
          <w:b w:val="0"/>
        </w:rPr>
        <w:t>应当</w:t>
      </w:r>
      <w:r>
        <w:rPr>
          <w:rStyle w:val="37"/>
          <w:rFonts w:hint="eastAsia" w:cs="仿宋_GB2312"/>
          <w:b w:val="0"/>
          <w:lang w:eastAsia="zh-Hans"/>
        </w:rPr>
        <w:t>披露</w:t>
      </w:r>
      <w:r>
        <w:rPr>
          <w:rStyle w:val="37"/>
          <w:rFonts w:hint="eastAsia" w:cs="仿宋_GB2312"/>
          <w:b w:val="0"/>
        </w:rPr>
        <w:t>其承兑</w:t>
      </w:r>
      <w:r>
        <w:rPr>
          <w:rStyle w:val="37"/>
          <w:rFonts w:hint="eastAsia" w:cs="仿宋_GB2312"/>
          <w:b w:val="0"/>
          <w:lang w:eastAsia="zh-Hans"/>
        </w:rPr>
        <w:t>商业汇票主要要素及</w:t>
      </w:r>
      <w:r>
        <w:rPr>
          <w:rStyle w:val="37"/>
          <w:rFonts w:cs="仿宋_GB2312"/>
          <w:b w:val="0"/>
        </w:rPr>
        <w:t>信用信息</w:t>
      </w:r>
      <w:r>
        <w:rPr>
          <w:rStyle w:val="37"/>
          <w:rFonts w:hint="eastAsia" w:cs="仿宋_GB2312"/>
          <w:b w:val="0"/>
          <w:lang w:eastAsia="zh-Hans"/>
        </w:rPr>
        <w:t>。</w:t>
      </w:r>
      <w:r>
        <w:rPr>
          <w:rStyle w:val="37"/>
          <w:rFonts w:cs="仿宋_GB2312"/>
          <w:b w:val="0"/>
          <w:lang w:eastAsia="zh-Hans"/>
        </w:rPr>
        <w:t>银行</w:t>
      </w:r>
      <w:r>
        <w:rPr>
          <w:rStyle w:val="37"/>
          <w:rFonts w:hint="eastAsia" w:cs="仿宋_GB2312"/>
          <w:b w:val="0"/>
          <w:lang w:eastAsia="zh-Hans"/>
        </w:rPr>
        <w:t>承兑汇票承兑人应当披露</w:t>
      </w:r>
      <w:r>
        <w:rPr>
          <w:rStyle w:val="37"/>
          <w:rFonts w:cs="仿宋_GB2312"/>
          <w:b w:val="0"/>
          <w:lang w:eastAsia="zh-Hans"/>
        </w:rPr>
        <w:t>承兑人信用信息</w:t>
      </w:r>
      <w:r>
        <w:rPr>
          <w:rStyle w:val="37"/>
          <w:rFonts w:hint="eastAsia" w:cs="仿宋_GB2312"/>
          <w:b w:val="0"/>
        </w:rPr>
        <w:t>。</w:t>
      </w:r>
      <w:r>
        <w:rPr>
          <w:rStyle w:val="37"/>
          <w:rFonts w:cs="仿宋_GB2312"/>
          <w:b w:val="0"/>
        </w:rPr>
        <w:t>承兑人</w:t>
      </w:r>
      <w:r>
        <w:rPr>
          <w:rStyle w:val="37"/>
          <w:rFonts w:hint="eastAsia" w:cs="仿宋_GB2312"/>
          <w:b w:val="0"/>
        </w:rPr>
        <w:t>应当对其披露信息的真实性、准确性、及时性和完整性负责。</w:t>
      </w:r>
    </w:p>
    <w:p>
      <w:pPr>
        <w:numPr>
          <w:ilvl w:val="0"/>
          <w:numId w:val="2"/>
        </w:numPr>
        <w:adjustRightInd w:val="0"/>
        <w:snapToGrid w:val="0"/>
        <w:spacing w:line="312" w:lineRule="auto"/>
        <w:ind w:left="0" w:firstLine="420" w:firstLineChars="200"/>
        <w:rPr>
          <w:rStyle w:val="37"/>
          <w:rFonts w:hint="eastAsia"/>
          <w:b w:val="0"/>
        </w:rPr>
      </w:pPr>
      <w:r>
        <w:rPr>
          <w:rStyle w:val="37"/>
          <w:rFonts w:hint="eastAsia"/>
          <w:b w:val="0"/>
        </w:rPr>
        <w:t xml:space="preserve"> </w:t>
      </w:r>
      <w:bookmarkStart w:id="1398" w:name="_Toc13429"/>
      <w:bookmarkStart w:id="1399" w:name="_Toc6528"/>
      <w:r>
        <w:rPr>
          <w:rStyle w:val="37"/>
          <w:b w:val="0"/>
        </w:rPr>
        <w:t>承兑人</w:t>
      </w:r>
      <w:r>
        <w:rPr>
          <w:rStyle w:val="37"/>
          <w:rFonts w:hint="eastAsia"/>
          <w:b w:val="0"/>
          <w:lang w:eastAsia="zh-Hans"/>
        </w:rPr>
        <w:t>开展</w:t>
      </w:r>
      <w:r>
        <w:rPr>
          <w:rStyle w:val="37"/>
          <w:b w:val="0"/>
        </w:rPr>
        <w:t>商业汇票信息披露</w:t>
      </w:r>
      <w:r>
        <w:rPr>
          <w:rStyle w:val="37"/>
          <w:rFonts w:hint="eastAsia"/>
          <w:b w:val="0"/>
          <w:lang w:eastAsia="zh-Hans"/>
        </w:rPr>
        <w:t>的</w:t>
      </w:r>
      <w:r>
        <w:rPr>
          <w:rStyle w:val="37"/>
          <w:rFonts w:hint="eastAsia"/>
          <w:b w:val="0"/>
        </w:rPr>
        <w:t>，应当在票据信息披露平台</w:t>
      </w:r>
      <w:r>
        <w:rPr>
          <w:rStyle w:val="37"/>
          <w:rFonts w:hint="eastAsia"/>
          <w:b w:val="0"/>
          <w:lang w:eastAsia="zh-Hans"/>
        </w:rPr>
        <w:t>进行</w:t>
      </w:r>
      <w:r>
        <w:rPr>
          <w:rStyle w:val="37"/>
          <w:rFonts w:hint="eastAsia"/>
          <w:b w:val="0"/>
        </w:rPr>
        <w:t>注册</w:t>
      </w:r>
      <w:r>
        <w:rPr>
          <w:rStyle w:val="37"/>
          <w:b w:val="0"/>
        </w:rPr>
        <w:t>。承兑人</w:t>
      </w:r>
      <w:r>
        <w:rPr>
          <w:rStyle w:val="37"/>
          <w:rFonts w:hint="eastAsia"/>
          <w:b w:val="0"/>
        </w:rPr>
        <w:t>注册时应当确保注册信息的真实、完整</w:t>
      </w:r>
      <w:r>
        <w:rPr>
          <w:rStyle w:val="37"/>
          <w:b w:val="0"/>
        </w:rPr>
        <w:t>。</w:t>
      </w:r>
    </w:p>
    <w:p>
      <w:pPr>
        <w:numPr>
          <w:ilvl w:val="255"/>
          <w:numId w:val="0"/>
        </w:numPr>
        <w:tabs>
          <w:tab w:val="left" w:pos="-40"/>
        </w:tabs>
        <w:adjustRightInd w:val="0"/>
        <w:snapToGrid w:val="0"/>
        <w:spacing w:line="312" w:lineRule="auto"/>
        <w:ind w:left="420" w:leftChars="200"/>
        <w:jc w:val="center"/>
        <w:rPr>
          <w:rStyle w:val="37"/>
          <w:rFonts w:hint="eastAsia"/>
          <w:b w:val="0"/>
        </w:rPr>
      </w:pPr>
      <w:r>
        <w:rPr>
          <w:rFonts w:hint="eastAsia" w:ascii="仿宋" w:hAnsi="仿宋" w:eastAsia="仿宋"/>
          <w:bCs/>
          <w:szCs w:val="21"/>
          <w:lang w:eastAsia="zh-Hans"/>
        </w:rPr>
        <w:t>第二章 信息披露</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rPr>
        <w:t xml:space="preserve"> </w:t>
      </w:r>
      <w:r>
        <w:rPr>
          <w:rFonts w:hint="eastAsia" w:ascii="仿宋" w:hAnsi="仿宋" w:eastAsia="仿宋" w:cs="仿宋_GB2312"/>
          <w:bCs/>
          <w:szCs w:val="21"/>
          <w:lang w:eastAsia="zh-Hans"/>
        </w:rPr>
        <w:t>商业承兑汇票承兑人自主注册票据信息披露平台，</w:t>
      </w:r>
      <w:r>
        <w:rPr>
          <w:rFonts w:ascii="仿宋" w:hAnsi="仿宋" w:eastAsia="仿宋" w:cs="仿宋_GB2312"/>
          <w:bCs/>
          <w:szCs w:val="21"/>
        </w:rPr>
        <w:t>注册时应当</w:t>
      </w:r>
      <w:r>
        <w:rPr>
          <w:rFonts w:hint="eastAsia" w:ascii="仿宋" w:hAnsi="仿宋" w:eastAsia="仿宋" w:cs="仿宋_GB2312"/>
          <w:bCs/>
          <w:szCs w:val="21"/>
        </w:rPr>
        <w:t>绑定已开通电子商业汇票业务功能的商业银行账户、财务公司账户或在供应链票据平台登记的企业账户，即电票业务账户。</w:t>
      </w:r>
    </w:p>
    <w:p>
      <w:p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lang w:eastAsia="zh-Hans"/>
        </w:rPr>
        <w:t>商业承兑汇票承兑人</w:t>
      </w:r>
      <w:r>
        <w:rPr>
          <w:rFonts w:hint="eastAsia" w:ascii="仿宋" w:hAnsi="仿宋" w:eastAsia="仿宋" w:cs="仿宋_GB2312"/>
          <w:bCs/>
          <w:szCs w:val="21"/>
        </w:rPr>
        <w:t>有多个电票业务账户办理票据业务的，应当在票据信息披露平台中绑定全部电票业务账户。</w:t>
      </w:r>
    </w:p>
    <w:p>
      <w:pPr>
        <w:numPr>
          <w:ilvl w:val="0"/>
          <w:numId w:val="2"/>
        </w:numPr>
        <w:adjustRightInd w:val="0"/>
        <w:snapToGrid w:val="0"/>
        <w:spacing w:line="312" w:lineRule="auto"/>
        <w:ind w:left="0" w:firstLine="420" w:firstLineChars="200"/>
        <w:rPr>
          <w:rFonts w:hint="eastAsia" w:ascii="仿宋" w:hAnsi="仿宋" w:eastAsia="仿宋"/>
          <w:bCs/>
          <w:szCs w:val="21"/>
          <w:lang w:eastAsia="zh-Hans"/>
        </w:rPr>
      </w:pPr>
      <w:r>
        <w:rPr>
          <w:rFonts w:hint="eastAsia" w:ascii="仿宋" w:hAnsi="仿宋" w:eastAsia="仿宋" w:cs="仿宋_GB2312"/>
          <w:bCs/>
          <w:szCs w:val="21"/>
        </w:rPr>
        <w:t xml:space="preserve"> </w:t>
      </w:r>
      <w:r>
        <w:rPr>
          <w:rFonts w:hint="eastAsia" w:ascii="仿宋" w:hAnsi="仿宋" w:eastAsia="仿宋" w:cs="仿宋_GB2312"/>
          <w:bCs/>
          <w:szCs w:val="21"/>
          <w:lang w:eastAsia="zh-Hans"/>
        </w:rPr>
        <w:t>银行承兑汇票和财务公司承兑汇票承兑人通过票交所预留邮箱发送申请表（附）进行注册。票交所为其开通票据信息披露平台业务权限。</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Style w:val="37"/>
          <w:rFonts w:hint="eastAsia" w:cs="仿宋_GB2312"/>
          <w:b w:val="0"/>
        </w:rPr>
        <w:t xml:space="preserve"> </w:t>
      </w:r>
      <w:bookmarkStart w:id="1400" w:name="_Toc739"/>
      <w:bookmarkStart w:id="1401" w:name="_Toc11232"/>
      <w:r>
        <w:rPr>
          <w:rStyle w:val="37"/>
          <w:rFonts w:hint="eastAsia" w:cs="仿宋_GB2312"/>
          <w:b w:val="0"/>
          <w:lang w:eastAsia="zh-Hans"/>
        </w:rPr>
        <w:t>商业承兑汇票和财务公司承兑汇票承兑人应当披露每张收款人已收票的商业汇票主要要素</w:t>
      </w:r>
      <w:r>
        <w:rPr>
          <w:rStyle w:val="37"/>
          <w:rFonts w:hint="eastAsia" w:cs="仿宋_GB2312"/>
          <w:b w:val="0"/>
        </w:rPr>
        <w:t>。商业汇票</w:t>
      </w:r>
      <w:r>
        <w:rPr>
          <w:rStyle w:val="37"/>
          <w:rFonts w:hint="eastAsia" w:cs="仿宋_GB2312"/>
          <w:b w:val="0"/>
          <w:lang w:eastAsia="zh-Hans"/>
        </w:rPr>
        <w:t>主要要素</w:t>
      </w:r>
      <w:r>
        <w:rPr>
          <w:rStyle w:val="37"/>
          <w:rFonts w:hint="eastAsia" w:cs="仿宋_GB2312"/>
          <w:b w:val="0"/>
        </w:rPr>
        <w:t>应当至少包含以下内容：</w:t>
      </w:r>
      <w:bookmarkEnd w:id="1400"/>
      <w:bookmarkEnd w:id="1401"/>
    </w:p>
    <w:p>
      <w:pPr>
        <w:numPr>
          <w:ilvl w:val="0"/>
          <w:numId w:val="3"/>
        </w:numPr>
        <w:tabs>
          <w:tab w:val="left" w:pos="-40"/>
        </w:tabs>
        <w:adjustRightInd w:val="0"/>
        <w:snapToGrid w:val="0"/>
        <w:spacing w:line="312" w:lineRule="auto"/>
        <w:ind w:left="0" w:firstLine="420" w:firstLineChars="200"/>
        <w:rPr>
          <w:rStyle w:val="37"/>
          <w:rFonts w:hint="eastAsia" w:cs="仿宋_GB2312"/>
          <w:b w:val="0"/>
        </w:rPr>
      </w:pPr>
      <w:bookmarkStart w:id="1402" w:name="_Toc6970"/>
      <w:bookmarkStart w:id="1403" w:name="_Toc26823"/>
      <w:r>
        <w:rPr>
          <w:rStyle w:val="37"/>
          <w:rFonts w:hint="eastAsia" w:cs="仿宋_GB2312"/>
          <w:b w:val="0"/>
        </w:rPr>
        <w:t>出票日期；</w:t>
      </w:r>
    </w:p>
    <w:p>
      <w:pPr>
        <w:numPr>
          <w:ilvl w:val="0"/>
          <w:numId w:val="3"/>
        </w:numPr>
        <w:tabs>
          <w:tab w:val="left" w:pos="-40"/>
        </w:tabs>
        <w:adjustRightInd w:val="0"/>
        <w:snapToGrid w:val="0"/>
        <w:spacing w:line="312" w:lineRule="auto"/>
        <w:ind w:left="0" w:firstLine="420" w:firstLineChars="200"/>
        <w:rPr>
          <w:rStyle w:val="37"/>
          <w:rFonts w:hint="eastAsia" w:cs="仿宋_GB2312"/>
          <w:b w:val="0"/>
        </w:rPr>
      </w:pPr>
      <w:bookmarkStart w:id="1404" w:name="_Toc26159"/>
      <w:bookmarkStart w:id="1405" w:name="_Toc6915"/>
      <w:r>
        <w:rPr>
          <w:rStyle w:val="37"/>
          <w:rFonts w:hint="eastAsia" w:cs="仿宋_GB2312"/>
          <w:b w:val="0"/>
        </w:rPr>
        <w:t>承兑日期；</w:t>
      </w:r>
    </w:p>
    <w:p>
      <w:pPr>
        <w:numPr>
          <w:ilvl w:val="0"/>
          <w:numId w:val="3"/>
        </w:numPr>
        <w:tabs>
          <w:tab w:val="left" w:pos="-40"/>
        </w:tabs>
        <w:adjustRightInd w:val="0"/>
        <w:snapToGrid w:val="0"/>
        <w:spacing w:line="312" w:lineRule="auto"/>
        <w:ind w:left="0" w:firstLine="420" w:firstLineChars="200"/>
        <w:rPr>
          <w:rStyle w:val="37"/>
          <w:rFonts w:hint="eastAsia" w:cs="仿宋_GB2312"/>
          <w:b w:val="0"/>
        </w:rPr>
      </w:pPr>
      <w:bookmarkStart w:id="1406" w:name="_Toc1586"/>
      <w:bookmarkStart w:id="1407" w:name="_Toc24846"/>
      <w:r>
        <w:rPr>
          <w:rStyle w:val="37"/>
          <w:rFonts w:hint="eastAsia" w:cs="仿宋_GB2312"/>
          <w:b w:val="0"/>
        </w:rPr>
        <w:t>票据号码；</w:t>
      </w:r>
    </w:p>
    <w:p>
      <w:pPr>
        <w:numPr>
          <w:ilvl w:val="0"/>
          <w:numId w:val="3"/>
        </w:numPr>
        <w:tabs>
          <w:tab w:val="left" w:pos="-40"/>
        </w:tabs>
        <w:adjustRightInd w:val="0"/>
        <w:snapToGrid w:val="0"/>
        <w:spacing w:line="312" w:lineRule="auto"/>
        <w:ind w:left="0" w:firstLine="420" w:firstLineChars="200"/>
        <w:rPr>
          <w:rStyle w:val="37"/>
          <w:rFonts w:hint="eastAsia" w:cs="仿宋_GB2312"/>
          <w:b w:val="0"/>
        </w:rPr>
      </w:pPr>
      <w:bookmarkStart w:id="1408" w:name="_Toc30261"/>
      <w:bookmarkStart w:id="1409" w:name="_Toc10456"/>
      <w:r>
        <w:rPr>
          <w:rStyle w:val="37"/>
          <w:rFonts w:hint="eastAsia" w:cs="仿宋_GB2312"/>
          <w:b w:val="0"/>
        </w:rPr>
        <w:t>出票人名称；</w:t>
      </w:r>
    </w:p>
    <w:p>
      <w:pPr>
        <w:numPr>
          <w:ilvl w:val="0"/>
          <w:numId w:val="3"/>
        </w:numPr>
        <w:tabs>
          <w:tab w:val="left" w:pos="-40"/>
        </w:tabs>
        <w:adjustRightInd w:val="0"/>
        <w:snapToGrid w:val="0"/>
        <w:spacing w:line="312" w:lineRule="auto"/>
        <w:ind w:left="0" w:firstLine="420" w:firstLineChars="200"/>
        <w:rPr>
          <w:rStyle w:val="37"/>
          <w:rFonts w:hint="eastAsia" w:cs="仿宋_GB2312"/>
          <w:b w:val="0"/>
        </w:rPr>
      </w:pPr>
      <w:bookmarkStart w:id="1410" w:name="_Toc32234"/>
      <w:bookmarkStart w:id="1411" w:name="_Toc13111"/>
      <w:r>
        <w:rPr>
          <w:rStyle w:val="37"/>
          <w:rFonts w:hint="eastAsia" w:cs="仿宋_GB2312"/>
          <w:b w:val="0"/>
        </w:rPr>
        <w:t>承兑人名称；</w:t>
      </w:r>
    </w:p>
    <w:p>
      <w:pPr>
        <w:numPr>
          <w:ilvl w:val="0"/>
          <w:numId w:val="3"/>
        </w:numPr>
        <w:tabs>
          <w:tab w:val="left" w:pos="-40"/>
        </w:tabs>
        <w:adjustRightInd w:val="0"/>
        <w:snapToGrid w:val="0"/>
        <w:spacing w:line="312" w:lineRule="auto"/>
        <w:ind w:left="0" w:firstLine="420" w:firstLineChars="200"/>
        <w:rPr>
          <w:rStyle w:val="37"/>
          <w:rFonts w:hint="eastAsia" w:cs="仿宋_GB2312"/>
          <w:b w:val="0"/>
        </w:rPr>
      </w:pPr>
      <w:r>
        <w:rPr>
          <w:rFonts w:hint="eastAsia" w:ascii="仿宋" w:hAnsi="仿宋" w:eastAsia="仿宋" w:cs="仿宋_GB2312"/>
          <w:bCs/>
          <w:szCs w:val="21"/>
        </w:rPr>
        <w:t>承兑人统一社会信用代码</w:t>
      </w:r>
      <w:r>
        <w:rPr>
          <w:rStyle w:val="37"/>
          <w:rFonts w:hint="eastAsia" w:cs="仿宋_GB2312"/>
          <w:b w:val="0"/>
        </w:rPr>
        <w:t>；</w:t>
      </w:r>
    </w:p>
    <w:p>
      <w:pPr>
        <w:numPr>
          <w:ilvl w:val="0"/>
          <w:numId w:val="3"/>
        </w:numPr>
        <w:tabs>
          <w:tab w:val="left" w:pos="-40"/>
        </w:tabs>
        <w:adjustRightInd w:val="0"/>
        <w:snapToGrid w:val="0"/>
        <w:spacing w:line="312" w:lineRule="auto"/>
        <w:ind w:left="0" w:firstLine="420" w:firstLineChars="200"/>
        <w:rPr>
          <w:rStyle w:val="37"/>
          <w:rFonts w:hint="eastAsia" w:cs="仿宋_GB2312"/>
          <w:b w:val="0"/>
        </w:rPr>
      </w:pPr>
      <w:bookmarkStart w:id="1412" w:name="_Toc23101"/>
      <w:bookmarkStart w:id="1413" w:name="_Toc3600"/>
      <w:r>
        <w:rPr>
          <w:rStyle w:val="37"/>
          <w:rFonts w:hint="eastAsia" w:cs="仿宋_GB2312"/>
          <w:b w:val="0"/>
        </w:rPr>
        <w:t>票面金额；</w:t>
      </w:r>
    </w:p>
    <w:p>
      <w:pPr>
        <w:numPr>
          <w:ilvl w:val="0"/>
          <w:numId w:val="3"/>
        </w:numPr>
        <w:tabs>
          <w:tab w:val="left" w:pos="-40"/>
        </w:tabs>
        <w:adjustRightInd w:val="0"/>
        <w:snapToGrid w:val="0"/>
        <w:spacing w:line="312" w:lineRule="auto"/>
        <w:ind w:left="0" w:firstLine="420" w:firstLineChars="200"/>
        <w:rPr>
          <w:rFonts w:hint="eastAsia" w:ascii="仿宋" w:hAnsi="仿宋" w:eastAsia="仿宋" w:cs="仿宋_GB2312"/>
          <w:bCs/>
          <w:szCs w:val="21"/>
        </w:rPr>
      </w:pPr>
      <w:bookmarkStart w:id="1414" w:name="_Toc15067"/>
      <w:bookmarkStart w:id="1415" w:name="_Toc29204"/>
      <w:r>
        <w:rPr>
          <w:rStyle w:val="37"/>
          <w:rFonts w:hint="eastAsia" w:cs="仿宋_GB2312"/>
          <w:b w:val="0"/>
        </w:rPr>
        <w:t>票据到期日。</w:t>
      </w:r>
      <w:bookmarkEnd w:id="1414"/>
      <w:bookmarkEnd w:id="1415"/>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 xml:space="preserve"> </w:t>
      </w:r>
      <w:r>
        <w:rPr>
          <w:rFonts w:hint="eastAsia" w:ascii="仿宋" w:hAnsi="仿宋" w:eastAsia="仿宋" w:cs="仿宋_GB2312"/>
          <w:bCs/>
          <w:szCs w:val="21"/>
          <w:lang w:eastAsia="zh-Hans"/>
        </w:rPr>
        <w:t>承兑人有以下情况的，应当披露</w:t>
      </w:r>
      <w:r>
        <w:rPr>
          <w:rFonts w:ascii="仿宋" w:hAnsi="仿宋" w:eastAsia="仿宋" w:cs="仿宋_GB2312"/>
          <w:bCs/>
          <w:szCs w:val="21"/>
          <w:lang w:eastAsia="zh-Hans"/>
        </w:rPr>
        <w:t>承兑人信用信息</w:t>
      </w:r>
      <w:r>
        <w:rPr>
          <w:rFonts w:hint="eastAsia" w:ascii="仿宋" w:hAnsi="仿宋" w:eastAsia="仿宋" w:cs="仿宋_GB2312"/>
          <w:bCs/>
          <w:szCs w:val="21"/>
          <w:lang w:eastAsia="zh-Hans"/>
        </w:rPr>
        <w:t>：</w:t>
      </w:r>
    </w:p>
    <w:p>
      <w:pPr>
        <w:numPr>
          <w:ilvl w:val="255"/>
          <w:numId w:val="0"/>
        </w:numPr>
        <w:tabs>
          <w:tab w:val="left" w:pos="-40"/>
        </w:tabs>
        <w:adjustRightInd w:val="0"/>
        <w:snapToGrid w:val="0"/>
        <w:spacing w:line="312" w:lineRule="auto"/>
        <w:ind w:firstLine="640"/>
        <w:rPr>
          <w:rFonts w:hint="eastAsia" w:ascii="仿宋" w:hAnsi="仿宋" w:eastAsia="仿宋" w:cs="仿宋_GB2312"/>
          <w:bCs/>
          <w:szCs w:val="21"/>
          <w:lang w:eastAsia="zh-Hans"/>
        </w:rPr>
      </w:pPr>
      <w:r>
        <w:rPr>
          <w:rFonts w:hint="eastAsia" w:ascii="仿宋" w:hAnsi="仿宋" w:eastAsia="仿宋" w:cs="仿宋_GB2312"/>
          <w:bCs/>
          <w:szCs w:val="21"/>
          <w:lang w:eastAsia="zh-Hans"/>
        </w:rPr>
        <w:t>（一）当月有承兑业务发生；</w:t>
      </w:r>
    </w:p>
    <w:p>
      <w:pPr>
        <w:numPr>
          <w:ilvl w:val="255"/>
          <w:numId w:val="0"/>
        </w:numPr>
        <w:tabs>
          <w:tab w:val="left" w:pos="-40"/>
        </w:tabs>
        <w:adjustRightInd w:val="0"/>
        <w:snapToGrid w:val="0"/>
        <w:spacing w:line="312" w:lineRule="auto"/>
        <w:ind w:firstLine="640"/>
        <w:rPr>
          <w:rFonts w:hint="eastAsia" w:ascii="仿宋" w:hAnsi="仿宋" w:eastAsia="仿宋" w:cs="仿宋_GB2312"/>
          <w:bCs/>
          <w:szCs w:val="21"/>
          <w:lang w:eastAsia="zh-Hans"/>
        </w:rPr>
      </w:pPr>
      <w:r>
        <w:rPr>
          <w:rFonts w:hint="eastAsia" w:ascii="仿宋" w:hAnsi="仿宋" w:eastAsia="仿宋" w:cs="仿宋_GB2312"/>
          <w:bCs/>
          <w:szCs w:val="21"/>
          <w:lang w:eastAsia="zh-Hans"/>
        </w:rPr>
        <w:t>（二）当月有票据逾期行为发生；</w:t>
      </w:r>
    </w:p>
    <w:p>
      <w:pPr>
        <w:numPr>
          <w:ilvl w:val="255"/>
          <w:numId w:val="0"/>
        </w:numPr>
        <w:tabs>
          <w:tab w:val="left" w:pos="-40"/>
        </w:tabs>
        <w:adjustRightInd w:val="0"/>
        <w:snapToGrid w:val="0"/>
        <w:spacing w:line="312" w:lineRule="auto"/>
        <w:ind w:firstLine="640"/>
        <w:rPr>
          <w:rFonts w:hint="eastAsia" w:ascii="仿宋" w:hAnsi="仿宋" w:eastAsia="仿宋" w:cs="仿宋_GB2312"/>
          <w:bCs/>
          <w:szCs w:val="21"/>
          <w:lang w:eastAsia="zh-Hans"/>
        </w:rPr>
      </w:pPr>
      <w:r>
        <w:rPr>
          <w:rFonts w:hint="eastAsia" w:ascii="仿宋" w:hAnsi="仿宋" w:eastAsia="仿宋" w:cs="仿宋_GB2312"/>
          <w:bCs/>
          <w:szCs w:val="21"/>
          <w:lang w:eastAsia="zh-Hans"/>
        </w:rPr>
        <w:t>（三）月末有承兑余额。</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rPr>
        <w:t xml:space="preserve"> 承兑人</w:t>
      </w:r>
      <w:r>
        <w:rPr>
          <w:rFonts w:hint="eastAsia" w:ascii="仿宋" w:hAnsi="仿宋" w:eastAsia="仿宋" w:cs="仿宋_GB2312"/>
          <w:bCs/>
          <w:szCs w:val="21"/>
        </w:rPr>
        <w:t>应当在每月前10日内</w:t>
      </w:r>
      <w:r>
        <w:rPr>
          <w:rFonts w:hint="eastAsia" w:ascii="仿宋" w:hAnsi="仿宋" w:eastAsia="仿宋" w:cs="仿宋_GB2312"/>
          <w:bCs/>
          <w:szCs w:val="21"/>
          <w:lang w:eastAsia="zh-Hans"/>
        </w:rPr>
        <w:t>完整</w:t>
      </w:r>
      <w:r>
        <w:rPr>
          <w:rFonts w:hint="eastAsia" w:ascii="仿宋" w:hAnsi="仿宋" w:eastAsia="仿宋" w:cs="仿宋_GB2312"/>
          <w:bCs/>
          <w:szCs w:val="21"/>
        </w:rPr>
        <w:t>披露截至上月末的</w:t>
      </w:r>
      <w:r>
        <w:rPr>
          <w:rFonts w:ascii="仿宋" w:hAnsi="仿宋" w:eastAsia="仿宋" w:cs="仿宋_GB2312"/>
          <w:bCs/>
          <w:szCs w:val="21"/>
        </w:rPr>
        <w:t>承兑人信用信息</w:t>
      </w:r>
      <w:r>
        <w:rPr>
          <w:rFonts w:hint="eastAsia" w:ascii="仿宋" w:hAnsi="仿宋" w:eastAsia="仿宋" w:cs="仿宋_GB2312"/>
          <w:bCs/>
          <w:szCs w:val="21"/>
        </w:rPr>
        <w:t>。</w:t>
      </w:r>
      <w:r>
        <w:rPr>
          <w:rFonts w:ascii="仿宋" w:hAnsi="仿宋" w:eastAsia="仿宋" w:cs="仿宋_GB2312"/>
          <w:bCs/>
          <w:szCs w:val="21"/>
        </w:rPr>
        <w:t>承兑人信用信息</w:t>
      </w:r>
      <w:r>
        <w:rPr>
          <w:rFonts w:hint="eastAsia" w:ascii="仿宋" w:hAnsi="仿宋" w:eastAsia="仿宋" w:cs="仿宋_GB2312"/>
          <w:bCs/>
          <w:szCs w:val="21"/>
        </w:rPr>
        <w:t>应当至少包含以下内容：</w:t>
      </w:r>
    </w:p>
    <w:p>
      <w:pPr>
        <w:numPr>
          <w:ilvl w:val="0"/>
          <w:numId w:val="4"/>
        </w:numPr>
        <w:tabs>
          <w:tab w:val="left" w:pos="-40"/>
        </w:tabs>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累计承兑发生额；</w:t>
      </w:r>
    </w:p>
    <w:p>
      <w:pPr>
        <w:numPr>
          <w:ilvl w:val="0"/>
          <w:numId w:val="4"/>
        </w:numPr>
        <w:tabs>
          <w:tab w:val="left" w:pos="-40"/>
        </w:tabs>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承兑余额；</w:t>
      </w:r>
    </w:p>
    <w:p>
      <w:pPr>
        <w:numPr>
          <w:ilvl w:val="0"/>
          <w:numId w:val="4"/>
        </w:numPr>
        <w:tabs>
          <w:tab w:val="left" w:pos="-40"/>
        </w:tabs>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累计逾期发生额；</w:t>
      </w:r>
    </w:p>
    <w:p>
      <w:pPr>
        <w:numPr>
          <w:ilvl w:val="0"/>
          <w:numId w:val="4"/>
        </w:numPr>
        <w:tabs>
          <w:tab w:val="left" w:pos="-40"/>
        </w:tabs>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逾期余额。</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 xml:space="preserve"> 累计承兑发生额是指</w:t>
      </w:r>
      <w:r>
        <w:rPr>
          <w:rFonts w:ascii="仿宋" w:hAnsi="仿宋" w:eastAsia="仿宋" w:cs="仿宋_GB2312"/>
          <w:bCs/>
          <w:szCs w:val="21"/>
        </w:rPr>
        <w:t>承兑人</w:t>
      </w:r>
      <w:r>
        <w:rPr>
          <w:rFonts w:hint="eastAsia" w:ascii="仿宋" w:hAnsi="仿宋" w:eastAsia="仿宋" w:cs="仿宋_GB2312"/>
          <w:bCs/>
          <w:szCs w:val="21"/>
        </w:rPr>
        <w:t>当年</w:t>
      </w:r>
      <w:r>
        <w:rPr>
          <w:rFonts w:ascii="仿宋" w:hAnsi="仿宋" w:eastAsia="仿宋" w:cs="仿宋_GB2312"/>
          <w:bCs/>
          <w:szCs w:val="21"/>
        </w:rPr>
        <w:t>1月1日</w:t>
      </w:r>
      <w:r>
        <w:rPr>
          <w:rFonts w:hint="eastAsia" w:ascii="仿宋" w:hAnsi="仿宋" w:eastAsia="仿宋" w:cs="仿宋_GB2312"/>
          <w:bCs/>
          <w:szCs w:val="21"/>
          <w:lang w:eastAsia="zh-Hans"/>
        </w:rPr>
        <w:t>以来</w:t>
      </w:r>
      <w:r>
        <w:rPr>
          <w:rFonts w:hint="eastAsia" w:ascii="仿宋" w:hAnsi="仿宋" w:eastAsia="仿宋" w:cs="仿宋_GB2312"/>
          <w:bCs/>
          <w:szCs w:val="21"/>
        </w:rPr>
        <w:t>累计承兑的商业汇票总金额；承兑余额是指</w:t>
      </w:r>
      <w:r>
        <w:rPr>
          <w:rFonts w:ascii="仿宋" w:hAnsi="仿宋" w:eastAsia="仿宋" w:cs="仿宋_GB2312"/>
          <w:bCs/>
          <w:szCs w:val="21"/>
        </w:rPr>
        <w:t>承兑人</w:t>
      </w:r>
      <w:r>
        <w:rPr>
          <w:rFonts w:hint="eastAsia" w:ascii="仿宋" w:hAnsi="仿宋" w:eastAsia="仿宋" w:cs="仿宋_GB2312"/>
          <w:bCs/>
          <w:szCs w:val="21"/>
        </w:rPr>
        <w:t>已承兑但未结清的商业汇票总金额。收款人未签收的商业汇票不计入</w:t>
      </w:r>
      <w:r>
        <w:rPr>
          <w:rFonts w:ascii="仿宋" w:hAnsi="仿宋" w:eastAsia="仿宋" w:cs="仿宋_GB2312"/>
          <w:bCs/>
          <w:szCs w:val="21"/>
        </w:rPr>
        <w:t>承兑人</w:t>
      </w:r>
      <w:r>
        <w:rPr>
          <w:rFonts w:hint="eastAsia" w:ascii="仿宋" w:hAnsi="仿宋" w:eastAsia="仿宋" w:cs="仿宋_GB2312"/>
          <w:bCs/>
          <w:szCs w:val="21"/>
        </w:rPr>
        <w:t>的</w:t>
      </w:r>
      <w:r>
        <w:rPr>
          <w:rFonts w:hint="eastAsia" w:ascii="仿宋" w:hAnsi="仿宋" w:eastAsia="仿宋" w:cs="仿宋_GB2312"/>
          <w:bCs/>
          <w:szCs w:val="21"/>
          <w:lang w:eastAsia="zh-Hans"/>
        </w:rPr>
        <w:t>累计</w:t>
      </w:r>
      <w:r>
        <w:rPr>
          <w:rFonts w:hint="eastAsia" w:ascii="仿宋" w:hAnsi="仿宋" w:eastAsia="仿宋" w:cs="仿宋_GB2312"/>
          <w:bCs/>
          <w:szCs w:val="21"/>
        </w:rPr>
        <w:t>承兑发生额</w:t>
      </w:r>
      <w:r>
        <w:rPr>
          <w:rFonts w:ascii="仿宋" w:hAnsi="仿宋" w:eastAsia="仿宋" w:cs="仿宋_GB2312"/>
          <w:bCs/>
          <w:szCs w:val="21"/>
        </w:rPr>
        <w:t>和</w:t>
      </w:r>
      <w:r>
        <w:rPr>
          <w:rFonts w:hint="eastAsia" w:ascii="仿宋" w:hAnsi="仿宋" w:eastAsia="仿宋" w:cs="仿宋_GB2312"/>
          <w:bCs/>
          <w:szCs w:val="21"/>
        </w:rPr>
        <w:t>承兑余额内。</w:t>
      </w:r>
    </w:p>
    <w:p>
      <w:p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累计逾期发生额是指</w:t>
      </w:r>
      <w:r>
        <w:rPr>
          <w:rFonts w:ascii="仿宋" w:hAnsi="仿宋" w:eastAsia="仿宋" w:cs="仿宋_GB2312"/>
          <w:bCs/>
          <w:szCs w:val="21"/>
        </w:rPr>
        <w:t>承兑人</w:t>
      </w:r>
      <w:r>
        <w:rPr>
          <w:rFonts w:hint="eastAsia" w:ascii="仿宋" w:hAnsi="仿宋" w:eastAsia="仿宋" w:cs="仿宋_GB2312"/>
          <w:bCs/>
          <w:szCs w:val="21"/>
        </w:rPr>
        <w:t>近5年内发生过逾期的商业汇票总金额</w:t>
      </w:r>
      <w:r>
        <w:rPr>
          <w:rFonts w:hint="eastAsia" w:ascii="仿宋" w:hAnsi="仿宋" w:eastAsia="仿宋" w:cs="仿宋_GB2312"/>
          <w:bCs/>
          <w:szCs w:val="21"/>
          <w:lang w:eastAsia="zh-Hans"/>
        </w:rPr>
        <w:t>；</w:t>
      </w:r>
      <w:r>
        <w:rPr>
          <w:rFonts w:hint="eastAsia" w:ascii="仿宋" w:hAnsi="仿宋" w:eastAsia="仿宋" w:cs="仿宋_GB2312"/>
          <w:bCs/>
          <w:szCs w:val="21"/>
        </w:rPr>
        <w:t>逾期余额是指</w:t>
      </w:r>
      <w:r>
        <w:rPr>
          <w:rFonts w:hint="eastAsia" w:ascii="仿宋" w:hAnsi="仿宋" w:eastAsia="仿宋" w:cs="仿宋_GB2312"/>
          <w:bCs/>
          <w:szCs w:val="21"/>
          <w:lang w:eastAsia="zh-Hans"/>
        </w:rPr>
        <w:t>发生逾期且</w:t>
      </w:r>
      <w:r>
        <w:rPr>
          <w:rFonts w:hint="eastAsia" w:ascii="仿宋" w:hAnsi="仿宋" w:eastAsia="仿宋" w:cs="仿宋_GB2312"/>
          <w:bCs/>
          <w:szCs w:val="21"/>
        </w:rPr>
        <w:t>未结清的商业汇票总金额。</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 xml:space="preserve"> </w:t>
      </w:r>
      <w:r>
        <w:rPr>
          <w:rFonts w:ascii="仿宋" w:hAnsi="仿宋" w:eastAsia="仿宋" w:cs="仿宋_GB2312"/>
          <w:bCs/>
          <w:szCs w:val="21"/>
        </w:rPr>
        <w:t>承兑人</w:t>
      </w:r>
      <w:r>
        <w:rPr>
          <w:rFonts w:hint="eastAsia" w:ascii="仿宋" w:hAnsi="仿宋" w:eastAsia="仿宋" w:cs="仿宋_GB2312"/>
          <w:bCs/>
          <w:szCs w:val="21"/>
        </w:rPr>
        <w:t>在票据到期后拒绝付款或</w:t>
      </w:r>
      <w:r>
        <w:rPr>
          <w:rFonts w:hint="eastAsia" w:ascii="仿宋" w:hAnsi="仿宋" w:eastAsia="仿宋" w:cs="仿宋_GB2312"/>
          <w:bCs/>
          <w:szCs w:val="21"/>
          <w:lang w:eastAsia="zh-Hans"/>
        </w:rPr>
        <w:t>未按规定及时结清票据</w:t>
      </w:r>
      <w:r>
        <w:rPr>
          <w:rFonts w:ascii="仿宋" w:hAnsi="仿宋" w:eastAsia="仿宋" w:cs="仿宋_GB2312"/>
          <w:bCs/>
          <w:szCs w:val="21"/>
        </w:rPr>
        <w:t>的构成</w:t>
      </w:r>
      <w:r>
        <w:rPr>
          <w:rFonts w:hint="eastAsia" w:ascii="仿宋" w:hAnsi="仿宋" w:eastAsia="仿宋" w:cs="仿宋_GB2312"/>
          <w:bCs/>
          <w:szCs w:val="21"/>
          <w:lang w:eastAsia="zh-Hans"/>
        </w:rPr>
        <w:t>票据逾期。</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lang w:eastAsia="zh-Hans"/>
        </w:rPr>
        <w:t xml:space="preserve"> </w:t>
      </w:r>
      <w:r>
        <w:rPr>
          <w:rFonts w:hint="eastAsia" w:ascii="仿宋" w:hAnsi="仿宋" w:eastAsia="仿宋" w:cs="仿宋_GB2312"/>
          <w:bCs/>
          <w:szCs w:val="21"/>
        </w:rPr>
        <w:t>持票人提前提示付款</w:t>
      </w:r>
      <w:r>
        <w:rPr>
          <w:rFonts w:ascii="仿宋" w:hAnsi="仿宋" w:eastAsia="仿宋" w:cs="仿宋_GB2312"/>
          <w:bCs/>
          <w:szCs w:val="21"/>
        </w:rPr>
        <w:t>的</w:t>
      </w:r>
      <w:r>
        <w:rPr>
          <w:rFonts w:hint="eastAsia" w:ascii="仿宋" w:hAnsi="仿宋" w:eastAsia="仿宋" w:cs="仿宋_GB2312"/>
          <w:bCs/>
          <w:szCs w:val="21"/>
        </w:rPr>
        <w:t>，</w:t>
      </w:r>
      <w:r>
        <w:rPr>
          <w:rFonts w:ascii="仿宋" w:hAnsi="仿宋" w:eastAsia="仿宋" w:cs="仿宋_GB2312"/>
          <w:bCs/>
          <w:szCs w:val="21"/>
        </w:rPr>
        <w:t>承兑人</w:t>
      </w:r>
      <w:r>
        <w:rPr>
          <w:rFonts w:hint="eastAsia" w:ascii="仿宋" w:hAnsi="仿宋" w:eastAsia="仿宋" w:cs="仿宋_GB2312"/>
          <w:bCs/>
          <w:szCs w:val="21"/>
        </w:rPr>
        <w:t>可以在票据到期日前拒绝付款。</w:t>
      </w:r>
      <w:r>
        <w:rPr>
          <w:rFonts w:hint="eastAsia" w:ascii="仿宋" w:hAnsi="仿宋" w:eastAsia="仿宋" w:cs="仿宋_GB2312"/>
          <w:bCs/>
          <w:szCs w:val="21"/>
          <w:lang w:eastAsia="zh-Hans"/>
        </w:rPr>
        <w:t>持票人在票据到期日前未撤回提示付款且承兑人未应答的，视作持票人已在票据到期日发起提示付款，按照前款规定判断是否构成票据逾期</w:t>
      </w:r>
      <w:r>
        <w:rPr>
          <w:rFonts w:hint="eastAsia" w:ascii="仿宋" w:hAnsi="仿宋" w:eastAsia="仿宋" w:cs="仿宋_GB2312"/>
          <w:bCs/>
          <w:szCs w:val="21"/>
        </w:rPr>
        <w:t>。</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rPr>
        <w:t xml:space="preserve"> 承兑人</w:t>
      </w:r>
      <w:r>
        <w:rPr>
          <w:rFonts w:hint="eastAsia" w:ascii="仿宋" w:hAnsi="仿宋" w:eastAsia="仿宋" w:cs="仿宋_GB2312"/>
          <w:bCs/>
          <w:szCs w:val="21"/>
        </w:rPr>
        <w:t>在票据到期后</w:t>
      </w:r>
      <w:r>
        <w:rPr>
          <w:rFonts w:hint="eastAsia" w:ascii="仿宋" w:hAnsi="仿宋" w:eastAsia="仿宋" w:cs="仿宋_GB2312"/>
          <w:bCs/>
          <w:szCs w:val="21"/>
          <w:lang w:eastAsia="zh-Hans"/>
        </w:rPr>
        <w:t>应当按照中国人民银行发布的相关规定及时结清票据。承兑人未在规定期限内结清票据的</w:t>
      </w:r>
      <w:r>
        <w:rPr>
          <w:rFonts w:hint="eastAsia" w:ascii="仿宋" w:hAnsi="仿宋" w:eastAsia="仿宋" w:cs="仿宋_GB2312"/>
          <w:bCs/>
          <w:szCs w:val="21"/>
        </w:rPr>
        <w:t>构成本细则所称“未</w:t>
      </w:r>
      <w:r>
        <w:rPr>
          <w:rFonts w:hint="eastAsia" w:ascii="仿宋" w:hAnsi="仿宋" w:eastAsia="仿宋" w:cs="仿宋_GB2312"/>
          <w:bCs/>
          <w:szCs w:val="21"/>
          <w:lang w:eastAsia="zh-Hans"/>
        </w:rPr>
        <w:t>按规定及时结清票据</w:t>
      </w:r>
      <w:r>
        <w:rPr>
          <w:rFonts w:hint="eastAsia" w:ascii="仿宋" w:hAnsi="仿宋" w:eastAsia="仿宋" w:cs="仿宋_GB2312"/>
          <w:bCs/>
          <w:szCs w:val="21"/>
        </w:rPr>
        <w:t>”</w:t>
      </w:r>
      <w:r>
        <w:rPr>
          <w:rFonts w:hint="eastAsia" w:ascii="仿宋" w:hAnsi="仿宋" w:eastAsia="仿宋" w:cs="仿宋_GB2312"/>
          <w:bCs/>
          <w:szCs w:val="21"/>
          <w:lang w:eastAsia="zh-Hans"/>
        </w:rPr>
        <w:t>。</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 xml:space="preserve"> 承兑人可选择自动披露、推送披露</w:t>
      </w:r>
      <w:r>
        <w:rPr>
          <w:rFonts w:hint="eastAsia" w:ascii="仿宋" w:hAnsi="仿宋" w:eastAsia="仿宋" w:cs="仿宋_GB2312"/>
          <w:bCs/>
          <w:szCs w:val="21"/>
          <w:lang w:eastAsia="zh-Hans"/>
        </w:rPr>
        <w:t>或</w:t>
      </w:r>
      <w:r>
        <w:rPr>
          <w:rFonts w:hint="eastAsia" w:ascii="仿宋" w:hAnsi="仿宋" w:eastAsia="仿宋" w:cs="仿宋_GB2312"/>
          <w:bCs/>
          <w:szCs w:val="21"/>
        </w:rPr>
        <w:t>自主填写披露等方式披露</w:t>
      </w:r>
      <w:r>
        <w:rPr>
          <w:rFonts w:hint="eastAsia" w:ascii="仿宋" w:hAnsi="仿宋" w:eastAsia="仿宋" w:cs="仿宋_GB2312"/>
          <w:bCs/>
          <w:szCs w:val="21"/>
          <w:lang w:eastAsia="zh-Hans"/>
        </w:rPr>
        <w:t>商业汇票</w:t>
      </w:r>
      <w:r>
        <w:rPr>
          <w:rFonts w:hint="eastAsia" w:ascii="仿宋" w:hAnsi="仿宋" w:eastAsia="仿宋" w:cs="仿宋_GB2312"/>
          <w:bCs/>
          <w:szCs w:val="21"/>
        </w:rPr>
        <w:t>主要要素及承兑人信用信息。</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 xml:space="preserve"> 票据信息披露平台向已注册的承兑人推送的信息仅供承兑人进行信息披露时参考。票据信息披露平台不对承兑人基于推送信息进行的相关披露行为负责。</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 xml:space="preserve"> 票据信息披露平台对承兑人披露的信息与票据业务相关系统中记载的票据业务行为信息进行比对，并根据比对结果在披露信息中备注以下信息：</w:t>
      </w:r>
    </w:p>
    <w:p>
      <w:pPr>
        <w:numPr>
          <w:ilvl w:val="0"/>
          <w:numId w:val="5"/>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信息比对一致的，备注披露信息与票交所记载信息相符；</w:t>
      </w:r>
    </w:p>
    <w:p>
      <w:pPr>
        <w:numPr>
          <w:ilvl w:val="0"/>
          <w:numId w:val="5"/>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信息比对不一致的，备注披露信息与票交所记载信息不符；</w:t>
      </w:r>
    </w:p>
    <w:p>
      <w:pPr>
        <w:numPr>
          <w:ilvl w:val="0"/>
          <w:numId w:val="5"/>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票据信息披露平台未采集到相关信息进行比对的，备注披露信息暂未比对。</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 xml:space="preserve"> 票据信息披露平台</w:t>
      </w:r>
      <w:r>
        <w:rPr>
          <w:rFonts w:ascii="仿宋" w:hAnsi="仿宋" w:eastAsia="仿宋" w:cs="仿宋_GB2312"/>
          <w:bCs/>
          <w:szCs w:val="21"/>
        </w:rPr>
        <w:t>仅对</w:t>
      </w:r>
      <w:r>
        <w:rPr>
          <w:rFonts w:hint="eastAsia" w:ascii="仿宋" w:hAnsi="仿宋" w:eastAsia="仿宋" w:cs="仿宋_GB2312"/>
          <w:bCs/>
          <w:szCs w:val="21"/>
          <w:lang w:eastAsia="zh-Hans"/>
        </w:rPr>
        <w:t>商业汇票信息披露制度正式实施后承兑的商业汇票主要要素</w:t>
      </w:r>
      <w:r>
        <w:rPr>
          <w:rFonts w:hint="eastAsia" w:ascii="仿宋" w:hAnsi="仿宋" w:eastAsia="仿宋" w:cs="仿宋_GB2312"/>
          <w:bCs/>
          <w:szCs w:val="21"/>
        </w:rPr>
        <w:t>信息和</w:t>
      </w:r>
      <w:r>
        <w:rPr>
          <w:rFonts w:ascii="仿宋" w:hAnsi="仿宋" w:eastAsia="仿宋" w:cs="仿宋_GB2312"/>
          <w:bCs/>
          <w:szCs w:val="21"/>
        </w:rPr>
        <w:t>承兑人信用信息</w:t>
      </w:r>
      <w:r>
        <w:rPr>
          <w:rFonts w:hint="eastAsia" w:ascii="仿宋" w:hAnsi="仿宋" w:eastAsia="仿宋" w:cs="仿宋_GB2312"/>
          <w:bCs/>
          <w:szCs w:val="21"/>
        </w:rPr>
        <w:t>进行</w:t>
      </w:r>
      <w:r>
        <w:rPr>
          <w:rFonts w:ascii="仿宋" w:hAnsi="仿宋" w:eastAsia="仿宋" w:cs="仿宋_GB2312"/>
          <w:bCs/>
          <w:szCs w:val="21"/>
        </w:rPr>
        <w:t>推送和比对。</w:t>
      </w:r>
      <w:r>
        <w:rPr>
          <w:rFonts w:hint="eastAsia" w:ascii="仿宋" w:hAnsi="仿宋" w:eastAsia="仿宋" w:cs="仿宋_GB2312"/>
          <w:bCs/>
          <w:szCs w:val="21"/>
          <w:lang w:eastAsia="zh-Hans"/>
        </w:rPr>
        <w:t>商业汇票信息披露制度实施</w:t>
      </w:r>
      <w:r>
        <w:rPr>
          <w:rFonts w:hint="eastAsia" w:ascii="仿宋" w:hAnsi="仿宋" w:eastAsia="仿宋" w:cs="仿宋_GB2312"/>
          <w:bCs/>
          <w:szCs w:val="21"/>
        </w:rPr>
        <w:t>前发生的承兑业务及</w:t>
      </w:r>
      <w:r>
        <w:rPr>
          <w:rFonts w:hint="eastAsia" w:ascii="仿宋" w:hAnsi="仿宋" w:eastAsia="仿宋" w:cs="仿宋_GB2312"/>
          <w:bCs/>
          <w:szCs w:val="21"/>
          <w:lang w:eastAsia="zh-Hans"/>
        </w:rPr>
        <w:t>票据</w:t>
      </w:r>
      <w:r>
        <w:rPr>
          <w:rFonts w:hint="eastAsia" w:ascii="仿宋" w:hAnsi="仿宋" w:eastAsia="仿宋" w:cs="仿宋_GB2312"/>
          <w:bCs/>
          <w:szCs w:val="21"/>
        </w:rPr>
        <w:t>逾期不纳入</w:t>
      </w:r>
      <w:r>
        <w:rPr>
          <w:rFonts w:ascii="仿宋" w:hAnsi="仿宋" w:eastAsia="仿宋" w:cs="仿宋_GB2312"/>
          <w:bCs/>
          <w:szCs w:val="21"/>
        </w:rPr>
        <w:t>承兑人信用信息</w:t>
      </w:r>
      <w:r>
        <w:rPr>
          <w:rFonts w:hint="eastAsia" w:ascii="仿宋" w:hAnsi="仿宋" w:eastAsia="仿宋" w:cs="仿宋_GB2312"/>
          <w:bCs/>
          <w:szCs w:val="21"/>
        </w:rPr>
        <w:t>统计。</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 xml:space="preserve"> </w:t>
      </w:r>
      <w:r>
        <w:rPr>
          <w:rFonts w:ascii="仿宋" w:hAnsi="仿宋" w:eastAsia="仿宋" w:cs="仿宋_GB2312"/>
          <w:bCs/>
          <w:szCs w:val="21"/>
        </w:rPr>
        <w:t>承兑人</w:t>
      </w:r>
      <w:r>
        <w:rPr>
          <w:rFonts w:hint="eastAsia" w:ascii="仿宋" w:hAnsi="仿宋" w:eastAsia="仿宋" w:cs="仿宋_GB2312"/>
          <w:bCs/>
          <w:szCs w:val="21"/>
        </w:rPr>
        <w:t>为上市公司或在债券市场有信息披露的，可将</w:t>
      </w:r>
      <w:r>
        <w:rPr>
          <w:rFonts w:hint="eastAsia" w:ascii="仿宋" w:hAnsi="仿宋" w:eastAsia="仿宋" w:cs="仿宋_GB2312"/>
          <w:bCs/>
          <w:szCs w:val="21"/>
          <w:lang w:eastAsia="zh-Hans"/>
        </w:rPr>
        <w:t>信用评级等相关信用信息</w:t>
      </w:r>
      <w:r>
        <w:rPr>
          <w:rFonts w:hint="eastAsia" w:ascii="仿宋" w:hAnsi="仿宋" w:eastAsia="仿宋" w:cs="仿宋_GB2312"/>
          <w:bCs/>
          <w:szCs w:val="21"/>
        </w:rPr>
        <w:t>通过票据信息披露平台向公众披露。</w:t>
      </w:r>
      <w:r>
        <w:rPr>
          <w:rFonts w:ascii="仿宋" w:hAnsi="仿宋" w:eastAsia="仿宋" w:cs="仿宋_GB2312"/>
          <w:bCs/>
          <w:szCs w:val="21"/>
        </w:rPr>
        <w:t>承兑人</w:t>
      </w:r>
      <w:r>
        <w:rPr>
          <w:rFonts w:hint="eastAsia" w:ascii="仿宋" w:hAnsi="仿宋" w:eastAsia="仿宋" w:cs="仿宋_GB2312"/>
          <w:bCs/>
          <w:szCs w:val="21"/>
        </w:rPr>
        <w:t>在债券市场发生违约的，可以通过票据信息披露平台披露相关信息。</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 xml:space="preserve"> 金融机构、持票企业或其他社会公众可通过票据号码</w:t>
      </w:r>
      <w:r>
        <w:rPr>
          <w:rFonts w:hint="eastAsia" w:ascii="仿宋" w:hAnsi="仿宋" w:eastAsia="仿宋" w:cs="仿宋_GB2312"/>
          <w:bCs/>
          <w:szCs w:val="21"/>
          <w:lang w:eastAsia="zh-Hans"/>
        </w:rPr>
        <w:t>、</w:t>
      </w:r>
      <w:r>
        <w:rPr>
          <w:rFonts w:hint="eastAsia" w:ascii="仿宋" w:hAnsi="仿宋" w:eastAsia="仿宋" w:cs="仿宋_GB2312"/>
          <w:bCs/>
          <w:szCs w:val="21"/>
        </w:rPr>
        <w:t>企业名称</w:t>
      </w:r>
      <w:r>
        <w:rPr>
          <w:rFonts w:hint="eastAsia" w:ascii="仿宋" w:hAnsi="仿宋" w:eastAsia="仿宋" w:cs="仿宋_GB2312"/>
          <w:bCs/>
          <w:szCs w:val="21"/>
          <w:lang w:eastAsia="zh-Hans"/>
        </w:rPr>
        <w:t>或</w:t>
      </w:r>
      <w:r>
        <w:rPr>
          <w:rFonts w:hint="eastAsia" w:ascii="仿宋" w:hAnsi="仿宋" w:eastAsia="仿宋" w:cs="仿宋_GB2312"/>
          <w:bCs/>
          <w:szCs w:val="21"/>
        </w:rPr>
        <w:t>统一社会信用代码对披露信息进行查询。查询人</w:t>
      </w:r>
      <w:r>
        <w:rPr>
          <w:rFonts w:hint="eastAsia" w:ascii="仿宋" w:hAnsi="仿宋" w:eastAsia="仿宋" w:cs="仿宋_GB2312"/>
          <w:bCs/>
          <w:szCs w:val="21"/>
          <w:lang w:eastAsia="zh-Hans"/>
        </w:rPr>
        <w:t>通过</w:t>
      </w:r>
      <w:r>
        <w:rPr>
          <w:rFonts w:hint="eastAsia" w:ascii="仿宋" w:hAnsi="仿宋" w:eastAsia="仿宋" w:cs="仿宋_GB2312"/>
          <w:bCs/>
          <w:szCs w:val="21"/>
        </w:rPr>
        <w:t>票据信息披露平台</w:t>
      </w:r>
      <w:r>
        <w:rPr>
          <w:rFonts w:hint="eastAsia" w:ascii="仿宋" w:hAnsi="仿宋" w:eastAsia="仿宋" w:cs="仿宋_GB2312"/>
          <w:bCs/>
          <w:szCs w:val="21"/>
          <w:lang w:eastAsia="zh-Hans"/>
        </w:rPr>
        <w:t>获取</w:t>
      </w:r>
      <w:r>
        <w:rPr>
          <w:rFonts w:hint="eastAsia" w:ascii="仿宋" w:hAnsi="仿宋" w:eastAsia="仿宋" w:cs="仿宋_GB2312"/>
          <w:bCs/>
          <w:szCs w:val="21"/>
        </w:rPr>
        <w:t>的信息，仅作为查询人从事票据或相关业务时</w:t>
      </w:r>
      <w:r>
        <w:rPr>
          <w:rFonts w:hint="eastAsia" w:ascii="仿宋" w:hAnsi="仿宋" w:eastAsia="仿宋" w:cs="仿宋_GB2312"/>
          <w:bCs/>
          <w:szCs w:val="21"/>
          <w:lang w:eastAsia="zh-Hans"/>
        </w:rPr>
        <w:t>的</w:t>
      </w:r>
      <w:r>
        <w:rPr>
          <w:rFonts w:hint="eastAsia" w:ascii="仿宋" w:hAnsi="仿宋" w:eastAsia="仿宋" w:cs="仿宋_GB2312"/>
          <w:bCs/>
          <w:szCs w:val="21"/>
        </w:rPr>
        <w:t>参考。</w:t>
      </w:r>
    </w:p>
    <w:p>
      <w:p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查询人查询或使用票据信息披露平台上的信息不得侵犯票交所合法权益。</w:t>
      </w:r>
    </w:p>
    <w:p>
      <w:pPr>
        <w:tabs>
          <w:tab w:val="left" w:pos="-40"/>
        </w:tabs>
        <w:adjustRightInd w:val="0"/>
        <w:snapToGrid w:val="0"/>
        <w:spacing w:line="312" w:lineRule="auto"/>
        <w:jc w:val="center"/>
        <w:rPr>
          <w:rFonts w:hint="eastAsia" w:ascii="仿宋" w:hAnsi="仿宋" w:eastAsia="仿宋"/>
          <w:bCs/>
          <w:szCs w:val="21"/>
          <w:lang w:eastAsia="zh-Hans"/>
        </w:rPr>
      </w:pPr>
      <w:r>
        <w:rPr>
          <w:rFonts w:hint="eastAsia" w:ascii="仿宋" w:hAnsi="仿宋" w:eastAsia="仿宋"/>
          <w:bCs/>
          <w:szCs w:val="21"/>
          <w:lang w:eastAsia="zh-Hans"/>
        </w:rPr>
        <w:t>第三章 风险控制</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rPr>
        <w:t xml:space="preserve"> </w:t>
      </w:r>
      <w:r>
        <w:rPr>
          <w:rFonts w:hint="eastAsia" w:ascii="仿宋" w:hAnsi="仿宋" w:eastAsia="仿宋" w:cs="仿宋_GB2312"/>
          <w:bCs/>
          <w:szCs w:val="21"/>
        </w:rPr>
        <w:t>承兑人出现以下情况的，票交所将定期通过票据信息披露平台进行提示：</w:t>
      </w:r>
    </w:p>
    <w:p>
      <w:pPr>
        <w:numPr>
          <w:ilvl w:val="255"/>
          <w:numId w:val="0"/>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w:t>
      </w:r>
      <w:r>
        <w:rPr>
          <w:rFonts w:hint="eastAsia" w:ascii="仿宋" w:hAnsi="仿宋" w:eastAsia="仿宋" w:cs="仿宋_GB2312"/>
          <w:bCs/>
          <w:szCs w:val="21"/>
          <w:lang w:eastAsia="zh-Hans"/>
        </w:rPr>
        <w:t>一</w:t>
      </w:r>
      <w:r>
        <w:rPr>
          <w:rFonts w:hint="eastAsia" w:ascii="仿宋" w:hAnsi="仿宋" w:eastAsia="仿宋" w:cs="仿宋_GB2312"/>
          <w:bCs/>
          <w:szCs w:val="21"/>
        </w:rPr>
        <w:t>）承兑人逾期及持续逾期；</w:t>
      </w:r>
    </w:p>
    <w:p>
      <w:pPr>
        <w:numPr>
          <w:ilvl w:val="255"/>
          <w:numId w:val="0"/>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w:t>
      </w:r>
      <w:r>
        <w:rPr>
          <w:rFonts w:hint="eastAsia" w:ascii="仿宋" w:hAnsi="仿宋" w:eastAsia="仿宋" w:cs="仿宋_GB2312"/>
          <w:bCs/>
          <w:szCs w:val="21"/>
          <w:lang w:eastAsia="zh-Hans"/>
        </w:rPr>
        <w:t>二</w:t>
      </w:r>
      <w:r>
        <w:rPr>
          <w:rFonts w:hint="eastAsia" w:ascii="仿宋" w:hAnsi="仿宋" w:eastAsia="仿宋" w:cs="仿宋_GB2312"/>
          <w:bCs/>
          <w:szCs w:val="21"/>
        </w:rPr>
        <w:t>）承兑人</w:t>
      </w:r>
      <w:r>
        <w:rPr>
          <w:rFonts w:hint="eastAsia" w:ascii="仿宋" w:hAnsi="仿宋" w:eastAsia="仿宋" w:cs="仿宋_GB2312"/>
          <w:bCs/>
          <w:szCs w:val="21"/>
          <w:lang w:eastAsia="zh-Hans"/>
        </w:rPr>
        <w:t>信用信息</w:t>
      </w:r>
      <w:r>
        <w:rPr>
          <w:rFonts w:hint="eastAsia" w:ascii="仿宋" w:hAnsi="仿宋" w:eastAsia="仿宋" w:cs="仿宋_GB2312"/>
          <w:bCs/>
          <w:szCs w:val="21"/>
        </w:rPr>
        <w:t>延迟披露；</w:t>
      </w:r>
    </w:p>
    <w:p>
      <w:pPr>
        <w:numPr>
          <w:ilvl w:val="255"/>
          <w:numId w:val="0"/>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w:t>
      </w:r>
      <w:r>
        <w:rPr>
          <w:rFonts w:hint="eastAsia" w:ascii="仿宋" w:hAnsi="仿宋" w:eastAsia="仿宋" w:cs="仿宋_GB2312"/>
          <w:bCs/>
          <w:szCs w:val="21"/>
          <w:lang w:eastAsia="zh-Hans"/>
        </w:rPr>
        <w:t>三</w:t>
      </w:r>
      <w:r>
        <w:rPr>
          <w:rFonts w:hint="eastAsia" w:ascii="仿宋" w:hAnsi="仿宋" w:eastAsia="仿宋" w:cs="仿宋_GB2312"/>
          <w:bCs/>
          <w:szCs w:val="21"/>
        </w:rPr>
        <w:t>）经开户机构报告电票业务账户被有权机关认定为伪假；</w:t>
      </w:r>
    </w:p>
    <w:p>
      <w:pPr>
        <w:numPr>
          <w:ilvl w:val="255"/>
          <w:numId w:val="0"/>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w:t>
      </w:r>
      <w:r>
        <w:rPr>
          <w:rFonts w:hint="eastAsia" w:ascii="仿宋" w:hAnsi="仿宋" w:eastAsia="仿宋" w:cs="仿宋_GB2312"/>
          <w:bCs/>
          <w:szCs w:val="21"/>
          <w:lang w:eastAsia="zh-Hans"/>
        </w:rPr>
        <w:t>四</w:t>
      </w:r>
      <w:r>
        <w:rPr>
          <w:rFonts w:hint="eastAsia" w:ascii="仿宋" w:hAnsi="仿宋" w:eastAsia="仿宋" w:cs="仿宋_GB2312"/>
          <w:bCs/>
          <w:szCs w:val="21"/>
        </w:rPr>
        <w:t>）其他监测中发现的异常披露情况。</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rPr>
        <w:t xml:space="preserve"> </w:t>
      </w:r>
      <w:r>
        <w:rPr>
          <w:rFonts w:hint="eastAsia" w:ascii="仿宋" w:hAnsi="仿宋" w:eastAsia="仿宋" w:cs="仿宋_GB2312"/>
          <w:bCs/>
          <w:szCs w:val="21"/>
        </w:rPr>
        <w:t>6个月内发生3次以上票据逾期，且月末有逾期余额或当月</w:t>
      </w:r>
      <w:r>
        <w:rPr>
          <w:rFonts w:hint="eastAsia" w:ascii="仿宋" w:hAnsi="仿宋" w:eastAsia="仿宋" w:cs="仿宋_GB2312"/>
          <w:bCs/>
          <w:szCs w:val="21"/>
          <w:lang w:eastAsia="zh-Hans"/>
        </w:rPr>
        <w:t>有票据逾期行为发生</w:t>
      </w:r>
      <w:r>
        <w:rPr>
          <w:rFonts w:hint="eastAsia" w:ascii="仿宋" w:hAnsi="仿宋" w:eastAsia="仿宋" w:cs="仿宋_GB2312"/>
          <w:bCs/>
          <w:szCs w:val="21"/>
        </w:rPr>
        <w:t>的，构成承兑人逾期。</w:t>
      </w:r>
    </w:p>
    <w:p>
      <w:pPr>
        <w:numPr>
          <w:ilvl w:val="255"/>
          <w:numId w:val="0"/>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6个月内发生3次以上承兑人逾期的，构成持续逾期。</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lang w:eastAsia="zh-Hans"/>
        </w:rPr>
        <w:t xml:space="preserve"> </w:t>
      </w:r>
      <w:r>
        <w:rPr>
          <w:rFonts w:hint="eastAsia" w:ascii="仿宋" w:hAnsi="仿宋" w:eastAsia="仿宋" w:cs="仿宋_GB2312"/>
          <w:bCs/>
          <w:szCs w:val="21"/>
          <w:lang w:eastAsia="zh-Hans"/>
        </w:rPr>
        <w:t>构成承兑人逾期的，</w:t>
      </w:r>
      <w:r>
        <w:rPr>
          <w:rFonts w:hint="eastAsia" w:ascii="仿宋" w:hAnsi="仿宋" w:eastAsia="仿宋" w:cs="仿宋_GB2312"/>
          <w:bCs/>
          <w:szCs w:val="21"/>
        </w:rPr>
        <w:t>票交所暂停为其提供</w:t>
      </w:r>
      <w:r>
        <w:rPr>
          <w:rFonts w:hint="eastAsia" w:ascii="仿宋" w:hAnsi="仿宋" w:eastAsia="仿宋" w:cs="仿宋_GB2312"/>
          <w:bCs/>
          <w:szCs w:val="21"/>
          <w:lang w:eastAsia="zh-Hans"/>
        </w:rPr>
        <w:t>商业汇票</w:t>
      </w:r>
      <w:r>
        <w:rPr>
          <w:rFonts w:hint="eastAsia" w:ascii="仿宋" w:hAnsi="仿宋" w:eastAsia="仿宋" w:cs="仿宋_GB2312"/>
          <w:bCs/>
          <w:szCs w:val="21"/>
        </w:rPr>
        <w:t>承兑服务</w:t>
      </w:r>
      <w:r>
        <w:rPr>
          <w:rFonts w:hint="eastAsia" w:ascii="仿宋" w:hAnsi="仿宋" w:eastAsia="仿宋" w:cs="仿宋_GB2312"/>
          <w:bCs/>
          <w:szCs w:val="21"/>
          <w:lang w:eastAsia="zh-Hans"/>
        </w:rPr>
        <w:t>。承兑人</w:t>
      </w:r>
      <w:r>
        <w:rPr>
          <w:rFonts w:hint="eastAsia" w:ascii="仿宋" w:hAnsi="仿宋" w:eastAsia="仿宋" w:cs="仿宋_GB2312"/>
          <w:bCs/>
          <w:szCs w:val="21"/>
        </w:rPr>
        <w:t>无</w:t>
      </w:r>
      <w:r>
        <w:rPr>
          <w:rFonts w:hint="eastAsia" w:ascii="仿宋" w:hAnsi="仿宋" w:eastAsia="仿宋" w:cs="仿宋_GB2312"/>
          <w:bCs/>
          <w:szCs w:val="21"/>
          <w:lang w:eastAsia="zh-Hans"/>
        </w:rPr>
        <w:t>逾期余额</w:t>
      </w:r>
      <w:r>
        <w:rPr>
          <w:rFonts w:hint="eastAsia" w:ascii="仿宋" w:hAnsi="仿宋" w:eastAsia="仿宋" w:cs="仿宋_GB2312"/>
          <w:bCs/>
          <w:szCs w:val="21"/>
        </w:rPr>
        <w:t>且已披露</w:t>
      </w:r>
      <w:r>
        <w:rPr>
          <w:rFonts w:hint="eastAsia" w:ascii="仿宋" w:hAnsi="仿宋" w:eastAsia="仿宋" w:cs="仿宋_GB2312"/>
          <w:bCs/>
          <w:szCs w:val="21"/>
          <w:lang w:eastAsia="zh-Hans"/>
        </w:rPr>
        <w:t>当期承兑人信用信息的</w:t>
      </w:r>
      <w:r>
        <w:rPr>
          <w:rFonts w:hint="eastAsia" w:ascii="仿宋" w:hAnsi="仿宋" w:eastAsia="仿宋" w:cs="仿宋_GB2312"/>
          <w:bCs/>
          <w:szCs w:val="21"/>
        </w:rPr>
        <w:t>，</w:t>
      </w:r>
      <w:r>
        <w:rPr>
          <w:rFonts w:hint="eastAsia" w:ascii="仿宋" w:hAnsi="仿宋" w:eastAsia="仿宋" w:cs="仿宋_GB2312"/>
          <w:bCs/>
          <w:szCs w:val="21"/>
          <w:lang w:eastAsia="zh-Hans"/>
        </w:rPr>
        <w:t>可以向市场发布公告说明逾期原因。</w:t>
      </w:r>
    </w:p>
    <w:p>
      <w:pPr>
        <w:numPr>
          <w:ilvl w:val="255"/>
          <w:numId w:val="0"/>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lang w:eastAsia="zh-Hans"/>
        </w:rPr>
        <w:t>承兑人公告</w:t>
      </w:r>
      <w:r>
        <w:rPr>
          <w:rFonts w:hint="eastAsia" w:ascii="仿宋" w:hAnsi="仿宋" w:eastAsia="仿宋" w:cs="仿宋_GB2312"/>
          <w:bCs/>
          <w:szCs w:val="21"/>
        </w:rPr>
        <w:t>发布</w:t>
      </w:r>
      <w:r>
        <w:rPr>
          <w:rFonts w:hint="eastAsia" w:ascii="仿宋" w:hAnsi="仿宋" w:eastAsia="仿宋" w:cs="仿宋_GB2312"/>
          <w:bCs/>
          <w:szCs w:val="21"/>
          <w:lang w:eastAsia="zh-Hans"/>
        </w:rPr>
        <w:t>后</w:t>
      </w:r>
      <w:r>
        <w:rPr>
          <w:rFonts w:hint="eastAsia" w:ascii="仿宋" w:hAnsi="仿宋" w:eastAsia="仿宋" w:cs="仿宋_GB2312"/>
          <w:bCs/>
          <w:szCs w:val="21"/>
        </w:rPr>
        <w:t>或次月不构成承兑人逾期的</w:t>
      </w:r>
      <w:r>
        <w:rPr>
          <w:rFonts w:hint="eastAsia" w:ascii="仿宋" w:hAnsi="仿宋" w:eastAsia="仿宋" w:cs="仿宋_GB2312"/>
          <w:bCs/>
          <w:szCs w:val="21"/>
          <w:lang w:eastAsia="zh-Hans"/>
        </w:rPr>
        <w:t>，</w:t>
      </w:r>
      <w:r>
        <w:rPr>
          <w:rFonts w:hint="eastAsia" w:ascii="仿宋" w:hAnsi="仿宋" w:eastAsia="仿宋" w:cs="仿宋_GB2312"/>
          <w:bCs/>
          <w:szCs w:val="21"/>
        </w:rPr>
        <w:t>票交所恢复为其提供</w:t>
      </w:r>
      <w:r>
        <w:rPr>
          <w:rFonts w:hint="eastAsia" w:ascii="仿宋" w:hAnsi="仿宋" w:eastAsia="仿宋" w:cs="仿宋_GB2312"/>
          <w:bCs/>
          <w:szCs w:val="21"/>
          <w:lang w:eastAsia="zh-Hans"/>
        </w:rPr>
        <w:t>商业汇票</w:t>
      </w:r>
      <w:r>
        <w:rPr>
          <w:rFonts w:hint="eastAsia" w:ascii="仿宋" w:hAnsi="仿宋" w:eastAsia="仿宋" w:cs="仿宋_GB2312"/>
          <w:bCs/>
          <w:szCs w:val="21"/>
        </w:rPr>
        <w:t>承兑服务</w:t>
      </w:r>
      <w:r>
        <w:rPr>
          <w:rFonts w:hint="eastAsia" w:ascii="仿宋" w:hAnsi="仿宋" w:eastAsia="仿宋" w:cs="仿宋_GB2312"/>
          <w:bCs/>
          <w:szCs w:val="21"/>
          <w:lang w:eastAsia="zh-Hans"/>
        </w:rPr>
        <w:t>。</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lang w:eastAsia="zh-Hans"/>
        </w:rPr>
        <w:t xml:space="preserve"> </w:t>
      </w:r>
      <w:r>
        <w:rPr>
          <w:rFonts w:hint="eastAsia" w:ascii="仿宋" w:hAnsi="仿宋" w:eastAsia="仿宋" w:cs="仿宋_GB2312"/>
          <w:bCs/>
          <w:szCs w:val="21"/>
          <w:lang w:eastAsia="zh-Hans"/>
        </w:rPr>
        <w:t>对票据逾期有异议的，承兑人可向票交所申请核对。因票交所系统原因、节假日规则不一致、疫情原因、诉讼纠纷、资金账户司法冻结、不可抗力等非承兑人原因导致票据逾期的，承兑人可向票交所申请修正。</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rPr>
        <w:t xml:space="preserve"> 承兑人连续3个月以上未披露承兑人信用信息的，构成延迟披露。</w:t>
      </w:r>
      <w:r>
        <w:rPr>
          <w:rFonts w:hint="eastAsia" w:ascii="仿宋" w:hAnsi="仿宋" w:eastAsia="仿宋" w:cs="仿宋_GB2312"/>
          <w:bCs/>
          <w:szCs w:val="21"/>
          <w:lang w:eastAsia="zh-Hans"/>
        </w:rPr>
        <w:t>因票交所系统原因、疫情原因、不可抗力等非承兑人原因导致无法及时披露的，承兑人可向票交所申请补披露。</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rPr>
        <w:t xml:space="preserve"> </w:t>
      </w:r>
      <w:r>
        <w:rPr>
          <w:rFonts w:hint="eastAsia" w:ascii="仿宋" w:hAnsi="仿宋" w:eastAsia="仿宋" w:cs="仿宋_GB2312"/>
          <w:bCs/>
          <w:szCs w:val="21"/>
        </w:rPr>
        <w:t>企业、金融机构发现伪假商业汇票或冒名承兑等异常情况的，应当及时向票交所反馈</w:t>
      </w:r>
      <w:r>
        <w:rPr>
          <w:rFonts w:ascii="仿宋" w:hAnsi="仿宋" w:eastAsia="仿宋" w:cs="仿宋_GB2312"/>
          <w:bCs/>
          <w:szCs w:val="21"/>
        </w:rPr>
        <w:t>，具体流程按照《上海票据交易所处置伪假票据操作规程》</w:t>
      </w:r>
      <w:r>
        <w:rPr>
          <w:rFonts w:hint="eastAsia" w:ascii="仿宋" w:hAnsi="仿宋" w:eastAsia="仿宋" w:cs="仿宋_GB2312"/>
          <w:bCs/>
          <w:szCs w:val="21"/>
        </w:rPr>
        <w:t>（票交所发〔2020〕22号）</w:t>
      </w:r>
      <w:r>
        <w:rPr>
          <w:rFonts w:ascii="仿宋" w:hAnsi="仿宋" w:eastAsia="仿宋" w:cs="仿宋_GB2312"/>
          <w:bCs/>
          <w:szCs w:val="21"/>
        </w:rPr>
        <w:t>相关规定操作执行</w:t>
      </w:r>
      <w:r>
        <w:rPr>
          <w:rFonts w:hint="eastAsia" w:ascii="仿宋" w:hAnsi="仿宋" w:eastAsia="仿宋" w:cs="仿宋_GB2312"/>
          <w:bCs/>
          <w:szCs w:val="21"/>
        </w:rPr>
        <w:t>。</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rPr>
        <w:t xml:space="preserve"> </w:t>
      </w:r>
      <w:r>
        <w:rPr>
          <w:rFonts w:hint="eastAsia" w:ascii="仿宋" w:hAnsi="仿宋" w:eastAsia="仿宋" w:cs="仿宋_GB2312"/>
          <w:bCs/>
          <w:szCs w:val="21"/>
          <w:lang w:eastAsia="zh-Hans"/>
        </w:rPr>
        <w:t>承兑人未按规定披露商业汇票主要要素的，持票人可通过票据信息披露平台提醒承兑人披露。承兑人应当在持票人提醒日起</w:t>
      </w:r>
      <w:r>
        <w:rPr>
          <w:rFonts w:ascii="仿宋" w:hAnsi="仿宋" w:eastAsia="仿宋" w:cs="仿宋_GB2312"/>
          <w:bCs/>
          <w:szCs w:val="21"/>
          <w:lang w:eastAsia="zh-Hans"/>
        </w:rPr>
        <w:t>3</w:t>
      </w:r>
      <w:r>
        <w:rPr>
          <w:rFonts w:hint="eastAsia" w:ascii="仿宋" w:hAnsi="仿宋" w:eastAsia="仿宋" w:cs="仿宋_GB2312"/>
          <w:bCs/>
          <w:szCs w:val="21"/>
          <w:lang w:eastAsia="zh-Hans"/>
        </w:rPr>
        <w:t>个工作日内披露所有未到期商业汇票主要要素。承兑人未及时披露的，</w:t>
      </w:r>
      <w:r>
        <w:rPr>
          <w:rFonts w:hint="eastAsia" w:ascii="仿宋" w:hAnsi="仿宋" w:eastAsia="仿宋" w:cs="仿宋_GB2312"/>
          <w:bCs/>
          <w:szCs w:val="21"/>
        </w:rPr>
        <w:t>票交所暂停为其提供商业汇票承兑服务</w:t>
      </w:r>
      <w:r>
        <w:rPr>
          <w:rFonts w:hint="eastAsia" w:ascii="仿宋" w:hAnsi="仿宋" w:eastAsia="仿宋" w:cs="仿宋_GB2312"/>
          <w:bCs/>
          <w:szCs w:val="21"/>
          <w:lang w:eastAsia="zh-Hans"/>
        </w:rPr>
        <w:t>。</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lang w:eastAsia="zh-Hans"/>
        </w:rPr>
        <w:t xml:space="preserve"> </w:t>
      </w:r>
      <w:r>
        <w:rPr>
          <w:rFonts w:hint="eastAsia" w:ascii="仿宋" w:hAnsi="仿宋" w:eastAsia="仿宋" w:cs="仿宋_GB2312"/>
          <w:bCs/>
          <w:szCs w:val="21"/>
        </w:rPr>
        <w:t>承兑人最近2年发生持续逾期或承兑人信用信息延迟披露的，票交所暂停为其提供商业汇票承兑服务</w:t>
      </w:r>
      <w:r>
        <w:rPr>
          <w:rFonts w:hint="eastAsia" w:ascii="仿宋" w:hAnsi="仿宋" w:eastAsia="仿宋" w:cs="仿宋_GB2312"/>
          <w:bCs/>
          <w:szCs w:val="21"/>
          <w:lang w:eastAsia="zh-Hans"/>
        </w:rPr>
        <w:t>。</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lang w:eastAsia="zh-Hans"/>
        </w:rPr>
        <w:t xml:space="preserve"> </w:t>
      </w:r>
      <w:r>
        <w:rPr>
          <w:rFonts w:hint="eastAsia" w:ascii="仿宋" w:hAnsi="仿宋" w:eastAsia="仿宋" w:cs="仿宋_GB2312"/>
          <w:bCs/>
          <w:szCs w:val="21"/>
          <w:lang w:eastAsia="zh-Hans"/>
        </w:rPr>
        <w:t>贴现人最近</w:t>
      </w:r>
      <w:r>
        <w:rPr>
          <w:rFonts w:ascii="仿宋" w:hAnsi="仿宋" w:eastAsia="仿宋" w:cs="仿宋_GB2312"/>
          <w:bCs/>
          <w:szCs w:val="21"/>
          <w:lang w:eastAsia="zh-Hans"/>
        </w:rPr>
        <w:t>2</w:t>
      </w:r>
      <w:r>
        <w:rPr>
          <w:rFonts w:hint="eastAsia" w:ascii="仿宋" w:hAnsi="仿宋" w:eastAsia="仿宋" w:cs="仿宋_GB2312"/>
          <w:bCs/>
          <w:szCs w:val="21"/>
          <w:lang w:eastAsia="zh-Hans"/>
        </w:rPr>
        <w:t>年发生持续逾期或承兑人信用信息延迟披露的，</w:t>
      </w:r>
      <w:r>
        <w:rPr>
          <w:rFonts w:hint="eastAsia" w:ascii="仿宋" w:hAnsi="仿宋" w:eastAsia="仿宋" w:cs="仿宋_GB2312"/>
          <w:bCs/>
          <w:szCs w:val="21"/>
        </w:rPr>
        <w:t>票交所暂停为其提供商业汇票</w:t>
      </w:r>
      <w:r>
        <w:rPr>
          <w:rFonts w:hint="eastAsia" w:ascii="仿宋" w:hAnsi="仿宋" w:eastAsia="仿宋" w:cs="仿宋_GB2312"/>
          <w:bCs/>
          <w:szCs w:val="21"/>
          <w:lang w:eastAsia="zh-Hans"/>
        </w:rPr>
        <w:t>贴现</w:t>
      </w:r>
      <w:r>
        <w:rPr>
          <w:rFonts w:hint="eastAsia" w:ascii="仿宋" w:hAnsi="仿宋" w:eastAsia="仿宋" w:cs="仿宋_GB2312"/>
          <w:bCs/>
          <w:szCs w:val="21"/>
        </w:rPr>
        <w:t>服务</w:t>
      </w:r>
      <w:r>
        <w:rPr>
          <w:rFonts w:hint="eastAsia" w:ascii="仿宋" w:hAnsi="仿宋" w:eastAsia="仿宋" w:cs="仿宋_GB2312"/>
          <w:bCs/>
          <w:szCs w:val="21"/>
          <w:lang w:eastAsia="zh-Hans"/>
        </w:rPr>
        <w:t>。</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lang w:eastAsia="zh-Hans"/>
        </w:rPr>
        <w:t xml:space="preserve"> </w:t>
      </w:r>
      <w:r>
        <w:rPr>
          <w:rFonts w:hint="eastAsia" w:ascii="仿宋" w:hAnsi="仿宋" w:eastAsia="仿宋" w:cs="仿宋_GB2312"/>
          <w:bCs/>
          <w:szCs w:val="21"/>
        </w:rPr>
        <w:t>财务公司所属集团法人最近2年发生持续逾期、承兑人信用信息延迟披露</w:t>
      </w:r>
      <w:r>
        <w:rPr>
          <w:rFonts w:hint="eastAsia" w:ascii="仿宋" w:hAnsi="仿宋" w:eastAsia="仿宋" w:cs="仿宋_GB2312"/>
          <w:bCs/>
          <w:szCs w:val="21"/>
          <w:lang w:eastAsia="zh-Hans"/>
        </w:rPr>
        <w:t>，</w:t>
      </w:r>
      <w:r>
        <w:rPr>
          <w:rFonts w:hint="eastAsia" w:ascii="仿宋" w:hAnsi="仿宋" w:eastAsia="仿宋" w:cs="仿宋_GB2312"/>
          <w:bCs/>
          <w:szCs w:val="21"/>
        </w:rPr>
        <w:t>重大违法行为</w:t>
      </w:r>
      <w:r>
        <w:rPr>
          <w:rFonts w:hint="eastAsia" w:ascii="仿宋" w:hAnsi="仿宋" w:eastAsia="仿宋" w:cs="仿宋_GB2312"/>
          <w:bCs/>
          <w:szCs w:val="21"/>
          <w:lang w:eastAsia="zh-Hans"/>
        </w:rPr>
        <w:t>，以及</w:t>
      </w:r>
      <w:r>
        <w:rPr>
          <w:rFonts w:hint="eastAsia" w:ascii="仿宋" w:hAnsi="仿宋" w:eastAsia="仿宋" w:cs="仿宋_GB2312"/>
          <w:bCs/>
          <w:szCs w:val="21"/>
        </w:rPr>
        <w:t>其他严重损害市场主体合法权益或社会公共利益行为的，票交所暂停为财务公司提供商业汇票承兑服务。</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 xml:space="preserve"> 金融机构办理</w:t>
      </w:r>
      <w:r>
        <w:rPr>
          <w:rFonts w:hint="eastAsia" w:ascii="仿宋" w:hAnsi="仿宋" w:eastAsia="仿宋" w:cs="仿宋_GB2312"/>
          <w:bCs/>
          <w:szCs w:val="21"/>
          <w:lang w:eastAsia="zh-Hans"/>
        </w:rPr>
        <w:t>商业汇票</w:t>
      </w:r>
      <w:r>
        <w:rPr>
          <w:rFonts w:hint="eastAsia" w:ascii="仿宋" w:hAnsi="仿宋" w:eastAsia="仿宋" w:cs="仿宋_GB2312"/>
          <w:bCs/>
          <w:szCs w:val="21"/>
        </w:rPr>
        <w:t>承兑业务前，应当通过票据信息披露平台查询出票人相关信息，出现以下情况的，不得为出票人办理承兑业务：</w:t>
      </w:r>
    </w:p>
    <w:p>
      <w:pPr>
        <w:numPr>
          <w:ilvl w:val="255"/>
          <w:numId w:val="0"/>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（一）出票人最近2年发生承兑人信用信息延迟披露；</w:t>
      </w:r>
    </w:p>
    <w:p>
      <w:pPr>
        <w:numPr>
          <w:ilvl w:val="255"/>
          <w:numId w:val="0"/>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（二）出票人最近2年发生持续逾期。</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rPr>
        <w:t xml:space="preserve"> </w:t>
      </w:r>
      <w:r>
        <w:rPr>
          <w:rFonts w:hint="eastAsia" w:ascii="仿宋" w:hAnsi="仿宋" w:eastAsia="仿宋" w:cs="仿宋_GB2312"/>
          <w:bCs/>
          <w:szCs w:val="21"/>
        </w:rPr>
        <w:t>金融机构办理商业汇票贴现、质押、保证业务前，应当通过票据信息披露平台</w:t>
      </w:r>
      <w:r>
        <w:rPr>
          <w:rFonts w:hint="eastAsia" w:ascii="仿宋" w:hAnsi="仿宋" w:eastAsia="仿宋" w:cs="仿宋_GB2312"/>
          <w:bCs/>
          <w:szCs w:val="21"/>
          <w:lang w:eastAsia="zh-Hans"/>
        </w:rPr>
        <w:t>核对商业汇票主要要素</w:t>
      </w:r>
      <w:r>
        <w:rPr>
          <w:rFonts w:hint="eastAsia" w:ascii="仿宋" w:hAnsi="仿宋" w:eastAsia="仿宋" w:cs="仿宋_GB2312"/>
          <w:bCs/>
          <w:szCs w:val="21"/>
        </w:rPr>
        <w:t>及其承兑人</w:t>
      </w:r>
      <w:r>
        <w:rPr>
          <w:rFonts w:hint="eastAsia" w:ascii="仿宋" w:hAnsi="仿宋" w:eastAsia="仿宋" w:cs="仿宋_GB2312"/>
          <w:bCs/>
          <w:szCs w:val="21"/>
          <w:lang w:eastAsia="zh-Hans"/>
        </w:rPr>
        <w:t>信用</w:t>
      </w:r>
      <w:r>
        <w:rPr>
          <w:rFonts w:hint="eastAsia" w:ascii="仿宋" w:hAnsi="仿宋" w:eastAsia="仿宋" w:cs="仿宋_GB2312"/>
          <w:bCs/>
          <w:szCs w:val="21"/>
        </w:rPr>
        <w:t>信息，出现以下情况的，不得为持票人办理贴现、质押、保证业务：</w:t>
      </w:r>
    </w:p>
    <w:p>
      <w:pPr>
        <w:numPr>
          <w:ilvl w:val="0"/>
          <w:numId w:val="6"/>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相关</w:t>
      </w:r>
      <w:r>
        <w:rPr>
          <w:rFonts w:hint="eastAsia" w:ascii="仿宋" w:hAnsi="仿宋" w:eastAsia="仿宋" w:cs="仿宋_GB2312"/>
          <w:bCs/>
          <w:szCs w:val="21"/>
          <w:lang w:eastAsia="zh-Hans"/>
        </w:rPr>
        <w:t>商业汇票主要要素信息未披露</w:t>
      </w:r>
      <w:r>
        <w:rPr>
          <w:rFonts w:hint="eastAsia" w:ascii="仿宋" w:hAnsi="仿宋" w:eastAsia="仿宋" w:cs="仿宋_GB2312"/>
          <w:bCs/>
          <w:szCs w:val="21"/>
        </w:rPr>
        <w:t>或者披露信息与票交所记载信息不符；</w:t>
      </w:r>
    </w:p>
    <w:p>
      <w:pPr>
        <w:numPr>
          <w:ilvl w:val="0"/>
          <w:numId w:val="6"/>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相关票据承兑人最近2年发生承兑人信用信息延迟披露；</w:t>
      </w:r>
    </w:p>
    <w:p>
      <w:pPr>
        <w:numPr>
          <w:ilvl w:val="0"/>
          <w:numId w:val="6"/>
        </w:numPr>
        <w:tabs>
          <w:tab w:val="left" w:pos="-40"/>
        </w:tabs>
        <w:adjustRightInd w:val="0"/>
        <w:snapToGrid w:val="0"/>
        <w:spacing w:line="312" w:lineRule="auto"/>
        <w:ind w:firstLine="420" w:firstLineChars="200"/>
        <w:rPr>
          <w:rFonts w:hint="eastAsia" w:ascii="仿宋" w:hAnsi="仿宋" w:eastAsia="仿宋" w:cs="仿宋_GB2312"/>
          <w:bCs/>
          <w:szCs w:val="21"/>
        </w:rPr>
      </w:pPr>
      <w:r>
        <w:rPr>
          <w:rFonts w:hint="eastAsia" w:ascii="仿宋" w:hAnsi="仿宋" w:eastAsia="仿宋" w:cs="仿宋_GB2312"/>
          <w:bCs/>
          <w:szCs w:val="21"/>
        </w:rPr>
        <w:t>相关票据承兑人最近2年发生持续逾期。</w:t>
      </w:r>
    </w:p>
    <w:p>
      <w:pPr>
        <w:numPr>
          <w:ilvl w:val="255"/>
          <w:numId w:val="0"/>
        </w:numPr>
        <w:tabs>
          <w:tab w:val="left" w:pos="-40"/>
        </w:tabs>
        <w:adjustRightInd w:val="0"/>
        <w:snapToGrid w:val="0"/>
        <w:spacing w:line="312" w:lineRule="auto"/>
        <w:ind w:left="420" w:leftChars="200"/>
        <w:jc w:val="center"/>
        <w:rPr>
          <w:rFonts w:hint="eastAsia" w:ascii="仿宋" w:hAnsi="仿宋" w:eastAsia="仿宋"/>
          <w:bCs/>
          <w:szCs w:val="21"/>
          <w:lang w:eastAsia="zh-Hans"/>
        </w:rPr>
      </w:pPr>
    </w:p>
    <w:p>
      <w:pPr>
        <w:numPr>
          <w:ilvl w:val="255"/>
          <w:numId w:val="0"/>
        </w:numPr>
        <w:tabs>
          <w:tab w:val="left" w:pos="-40"/>
        </w:tabs>
        <w:adjustRightInd w:val="0"/>
        <w:snapToGrid w:val="0"/>
        <w:spacing w:line="312" w:lineRule="auto"/>
        <w:ind w:left="420" w:leftChars="200"/>
        <w:jc w:val="center"/>
        <w:rPr>
          <w:rFonts w:hint="eastAsia" w:ascii="仿宋" w:hAnsi="仿宋" w:eastAsia="仿宋"/>
          <w:bCs/>
          <w:szCs w:val="21"/>
          <w:lang w:eastAsia="zh-Hans"/>
        </w:rPr>
      </w:pPr>
      <w:r>
        <w:rPr>
          <w:rFonts w:hint="eastAsia" w:ascii="仿宋" w:hAnsi="仿宋" w:eastAsia="仿宋"/>
          <w:bCs/>
          <w:szCs w:val="21"/>
          <w:lang w:eastAsia="zh-Hans"/>
        </w:rPr>
        <w:t>第四章 附则</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rPr>
        <w:t xml:space="preserve"> 票交所定期向中国人民银行报告商业汇票信息披露</w:t>
      </w:r>
      <w:r>
        <w:rPr>
          <w:rFonts w:hint="eastAsia" w:ascii="仿宋" w:hAnsi="仿宋" w:eastAsia="仿宋" w:cs="仿宋_GB2312"/>
          <w:bCs/>
          <w:szCs w:val="21"/>
        </w:rPr>
        <w:t>情况</w:t>
      </w:r>
      <w:r>
        <w:rPr>
          <w:rFonts w:ascii="仿宋" w:hAnsi="仿宋" w:eastAsia="仿宋" w:cs="仿宋_GB2312"/>
          <w:bCs/>
          <w:szCs w:val="21"/>
        </w:rPr>
        <w:t>。</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ascii="仿宋" w:hAnsi="仿宋" w:eastAsia="仿宋" w:cs="仿宋_GB2312"/>
          <w:bCs/>
          <w:szCs w:val="21"/>
        </w:rPr>
        <w:t xml:space="preserve"> </w:t>
      </w:r>
      <w:r>
        <w:rPr>
          <w:rFonts w:hint="eastAsia" w:ascii="仿宋" w:hAnsi="仿宋" w:eastAsia="仿宋" w:cs="仿宋_GB2312"/>
          <w:bCs/>
          <w:szCs w:val="21"/>
        </w:rPr>
        <w:t>本细则由票交所负责解释。</w:t>
      </w:r>
    </w:p>
    <w:p>
      <w:pPr>
        <w:numPr>
          <w:ilvl w:val="0"/>
          <w:numId w:val="2"/>
        </w:numPr>
        <w:adjustRightInd w:val="0"/>
        <w:snapToGrid w:val="0"/>
        <w:spacing w:line="312" w:lineRule="auto"/>
        <w:ind w:left="0" w:firstLine="420" w:firstLineChars="200"/>
        <w:rPr>
          <w:rFonts w:hint="eastAsia" w:ascii="仿宋" w:hAnsi="仿宋" w:eastAsia="仿宋" w:cs="仿宋_GB2312"/>
          <w:bCs/>
          <w:szCs w:val="21"/>
        </w:rPr>
      </w:pPr>
      <w:r>
        <w:rPr>
          <w:rFonts w:hint="eastAsia" w:ascii="仿宋" w:hAnsi="仿宋" w:eastAsia="仿宋" w:cs="仿宋_GB2312"/>
          <w:bCs/>
          <w:szCs w:val="21"/>
        </w:rPr>
        <w:t xml:space="preserve"> 本细则自</w:t>
      </w:r>
      <w:r>
        <w:rPr>
          <w:rFonts w:ascii="仿宋" w:hAnsi="仿宋" w:eastAsia="仿宋" w:cs="仿宋_GB2312"/>
          <w:bCs/>
          <w:szCs w:val="21"/>
        </w:rPr>
        <w:t>2023</w:t>
      </w:r>
      <w:r>
        <w:rPr>
          <w:rFonts w:hint="eastAsia" w:ascii="仿宋" w:hAnsi="仿宋" w:eastAsia="仿宋" w:cs="仿宋_GB2312"/>
          <w:bCs/>
          <w:szCs w:val="21"/>
        </w:rPr>
        <w:t>年</w:t>
      </w:r>
      <w:r>
        <w:rPr>
          <w:rFonts w:ascii="仿宋" w:hAnsi="仿宋" w:eastAsia="仿宋" w:cs="仿宋_GB2312"/>
          <w:bCs/>
          <w:szCs w:val="21"/>
        </w:rPr>
        <w:t>1</w:t>
      </w:r>
      <w:r>
        <w:rPr>
          <w:rFonts w:hint="eastAsia" w:ascii="仿宋" w:hAnsi="仿宋" w:eastAsia="仿宋" w:cs="仿宋_GB2312"/>
          <w:bCs/>
          <w:szCs w:val="21"/>
        </w:rPr>
        <w:t>月</w:t>
      </w:r>
      <w:r>
        <w:rPr>
          <w:rFonts w:ascii="仿宋" w:hAnsi="仿宋" w:eastAsia="仿宋" w:cs="仿宋_GB2312"/>
          <w:bCs/>
          <w:szCs w:val="21"/>
        </w:rPr>
        <w:t>1</w:t>
      </w:r>
      <w:r>
        <w:rPr>
          <w:rFonts w:hint="eastAsia" w:ascii="仿宋" w:hAnsi="仿宋" w:eastAsia="仿宋" w:cs="仿宋_GB2312"/>
          <w:bCs/>
          <w:szCs w:val="21"/>
        </w:rPr>
        <w:t>日起施行</w:t>
      </w:r>
      <w:r>
        <w:rPr>
          <w:rFonts w:ascii="仿宋" w:hAnsi="仿宋" w:eastAsia="仿宋" w:cs="仿宋_GB2312"/>
          <w:bCs/>
          <w:szCs w:val="21"/>
        </w:rPr>
        <w:t>。</w:t>
      </w:r>
      <w:r>
        <w:rPr>
          <w:rFonts w:hint="eastAsia" w:ascii="仿宋" w:hAnsi="仿宋" w:eastAsia="仿宋" w:cs="仿宋_GB2312"/>
          <w:bCs/>
          <w:szCs w:val="21"/>
        </w:rPr>
        <w:t>《商业承兑汇票信息披露操作细则》（票交所公告〔2020〕4号）同时废止。</w:t>
      </w:r>
    </w:p>
    <w:p>
      <w:pPr>
        <w:rPr>
          <w:rFonts w:hint="eastAsia" w:ascii="黑体" w:hAnsi="黑体" w:eastAsia="黑体" w:cs="仿宋_GB2312"/>
          <w:szCs w:val="32"/>
          <w:lang w:eastAsia="zh-Hans"/>
        </w:rPr>
      </w:pPr>
      <w:r>
        <w:rPr>
          <w:rFonts w:ascii="仿宋_GB2312" w:hAnsi="仿宋_GB2312" w:eastAsia="仿宋_GB2312" w:cs="仿宋_GB2312"/>
          <w:szCs w:val="32"/>
        </w:rPr>
        <w:br w:type="page"/>
      </w:r>
      <w:r>
        <w:rPr>
          <w:rFonts w:hint="eastAsia" w:ascii="黑体" w:hAnsi="黑体" w:eastAsia="黑体" w:cs="仿宋_GB2312"/>
          <w:szCs w:val="32"/>
          <w:lang w:eastAsia="zh-Hans"/>
        </w:rPr>
        <w:t>附</w:t>
      </w:r>
    </w:p>
    <w:tbl>
      <w:tblPr>
        <w:tblStyle w:val="27"/>
        <w:tblW w:w="0" w:type="auto"/>
        <w:jc w:val="center"/>
        <w:tblLayout w:type="autofit"/>
        <w:tblCellMar>
          <w:top w:w="15" w:type="dxa"/>
          <w:left w:w="15" w:type="dxa"/>
          <w:bottom w:w="15" w:type="dxa"/>
          <w:right w:w="15" w:type="dxa"/>
        </w:tblCellMar>
      </w:tblPr>
      <w:tblGrid>
        <w:gridCol w:w="1240"/>
        <w:gridCol w:w="2503"/>
        <w:gridCol w:w="2011"/>
        <w:gridCol w:w="2582"/>
      </w:tblGrid>
      <w:tr>
        <w:tblPrEx>
          <w:tblCellMar>
            <w:top w:w="15" w:type="dxa"/>
            <w:left w:w="15" w:type="dxa"/>
            <w:bottom w:w="15" w:type="dxa"/>
            <w:right w:w="15" w:type="dxa"/>
          </w:tblCellMar>
        </w:tblPrEx>
        <w:trPr>
          <w:trHeight w:val="720" w:hRule="atLeast"/>
          <w:jc w:val="center"/>
        </w:trPr>
        <w:tc>
          <w:tcPr>
            <w:tcW w:w="9437" w:type="dxa"/>
            <w:gridSpan w:val="4"/>
            <w:vMerge w:val="restart"/>
            <w:shd w:val="clear" w:color="auto" w:fill="auto"/>
            <w:vAlign w:val="center"/>
          </w:tcPr>
          <w:p>
            <w:pPr>
              <w:widowControl/>
              <w:spacing w:after="160" w:line="560" w:lineRule="exact"/>
              <w:jc w:val="center"/>
              <w:textAlignment w:val="center"/>
              <w:rPr>
                <w:rFonts w:hint="eastAsia" w:ascii="方正小标宋简体" w:hAnsi="方正小标宋简体" w:eastAsia="方正小标宋简体" w:cs="方正小标宋简体"/>
                <w:color w:val="000000"/>
                <w:kern w:val="0"/>
                <w:sz w:val="40"/>
                <w:szCs w:val="40"/>
                <w:lang w:bidi="ar"/>
              </w:rPr>
            </w:pPr>
            <w:r>
              <w:rPr>
                <w:rFonts w:hint="eastAsia" w:ascii="方正小标宋简体" w:hAnsi="方正小标宋简体" w:eastAsia="方正小标宋简体" w:cs="方正小标宋简体"/>
                <w:color w:val="000000"/>
                <w:kern w:val="0"/>
                <w:sz w:val="44"/>
                <w:szCs w:val="44"/>
                <w:lang w:bidi="ar"/>
              </w:rPr>
              <w:t>金融机构票据信息披露平台信息登记表</w:t>
            </w:r>
          </w:p>
        </w:tc>
      </w:tr>
      <w:tr>
        <w:tblPrEx>
          <w:tblCellMar>
            <w:top w:w="15" w:type="dxa"/>
            <w:left w:w="15" w:type="dxa"/>
            <w:bottom w:w="15" w:type="dxa"/>
            <w:right w:w="15" w:type="dxa"/>
          </w:tblCellMar>
        </w:tblPrEx>
        <w:trPr>
          <w:trHeight w:val="1150" w:hRule="atLeast"/>
          <w:jc w:val="center"/>
        </w:trPr>
        <w:tc>
          <w:tcPr>
            <w:tcW w:w="9437" w:type="dxa"/>
            <w:gridSpan w:val="4"/>
            <w:vMerge w:val="continue"/>
            <w:shd w:val="clear" w:color="auto" w:fill="auto"/>
            <w:vAlign w:val="center"/>
          </w:tcPr>
          <w:p>
            <w:pPr>
              <w:spacing w:after="160" w:line="276" w:lineRule="auto"/>
              <w:jc w:val="center"/>
              <w:rPr>
                <w:rFonts w:hint="eastAsia" w:ascii="方正小标宋简体" w:hAnsi="方正小标宋简体" w:eastAsia="方正小标宋简体" w:cs="方正小标宋简体"/>
                <w:color w:val="000000"/>
                <w:sz w:val="40"/>
                <w:szCs w:val="40"/>
              </w:rPr>
            </w:pPr>
          </w:p>
        </w:tc>
      </w:tr>
      <w:tr>
        <w:tblPrEx>
          <w:tblCellMar>
            <w:top w:w="15" w:type="dxa"/>
            <w:left w:w="15" w:type="dxa"/>
            <w:bottom w:w="15" w:type="dxa"/>
            <w:right w:w="15" w:type="dxa"/>
          </w:tblCellMar>
        </w:tblPrEx>
        <w:trPr>
          <w:jc w:val="center"/>
        </w:trPr>
        <w:tc>
          <w:tcPr>
            <w:tcW w:w="9437" w:type="dxa"/>
            <w:gridSpan w:val="4"/>
            <w:tcBorders>
              <w:top w:val="single" w:color="000000" w:sz="12" w:space="0"/>
              <w:left w:val="single" w:color="000000" w:sz="12" w:space="0"/>
              <w:bottom w:val="single" w:color="000000" w:sz="4" w:space="0"/>
              <w:right w:val="single" w:color="000000" w:sz="12" w:space="0"/>
            </w:tcBorders>
            <w:shd w:val="clear" w:color="auto" w:fill="auto"/>
            <w:vAlign w:val="center"/>
          </w:tcPr>
          <w:p>
            <w:pPr>
              <w:widowControl/>
              <w:spacing w:after="160" w:line="560" w:lineRule="exact"/>
              <w:jc w:val="center"/>
              <w:textAlignment w:val="center"/>
              <w:rPr>
                <w:rFonts w:hint="eastAsia" w:ascii="黑体" w:hAnsi="宋体" w:eastAsia="黑体"/>
                <w:color w:val="000000"/>
                <w:sz w:val="28"/>
                <w:szCs w:val="28"/>
              </w:rPr>
            </w:pPr>
            <w:r>
              <w:rPr>
                <w:rFonts w:hint="eastAsia" w:ascii="黑体" w:hAnsi="宋体" w:eastAsia="黑体"/>
                <w:color w:val="000000"/>
                <w:kern w:val="0"/>
                <w:sz w:val="28"/>
                <w:szCs w:val="28"/>
                <w:lang w:bidi="ar"/>
              </w:rPr>
              <w:t>基本信息</w:t>
            </w:r>
          </w:p>
        </w:tc>
      </w:tr>
      <w:tr>
        <w:tblPrEx>
          <w:tblCellMar>
            <w:top w:w="15" w:type="dxa"/>
            <w:left w:w="15" w:type="dxa"/>
            <w:bottom w:w="15" w:type="dxa"/>
            <w:right w:w="15" w:type="dxa"/>
          </w:tblCellMar>
        </w:tblPrEx>
        <w:trPr>
          <w:trHeight w:val="525" w:hRule="atLeast"/>
          <w:jc w:val="center"/>
        </w:trPr>
        <w:tc>
          <w:tcPr>
            <w:tcW w:w="1387"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spacing w:after="160" w:line="560" w:lineRule="exact"/>
              <w:textAlignment w:val="center"/>
              <w:rPr>
                <w:rFonts w:hint="eastAsia" w:ascii="仿宋" w:hAnsi="仿宋" w:cs="仿宋"/>
                <w:b/>
                <w:color w:val="000000"/>
                <w:sz w:val="24"/>
              </w:rPr>
            </w:pPr>
            <w:r>
              <w:rPr>
                <w:rFonts w:hint="eastAsia" w:ascii="仿宋" w:hAnsi="仿宋" w:cs="仿宋"/>
                <w:b/>
                <w:color w:val="000000"/>
                <w:kern w:val="0"/>
                <w:sz w:val="24"/>
                <w:lang w:bidi="ar"/>
              </w:rPr>
              <w:t>机构名称</w:t>
            </w:r>
          </w:p>
        </w:tc>
        <w:tc>
          <w:tcPr>
            <w:tcW w:w="285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160" w:line="560" w:lineRule="exact"/>
              <w:jc w:val="center"/>
              <w:rPr>
                <w:rFonts w:hint="eastAsia" w:ascii="仿宋" w:hAnsi="仿宋" w:cs="仿宋"/>
                <w:b/>
                <w:color w:val="000000"/>
                <w:sz w:val="24"/>
              </w:rPr>
            </w:pPr>
          </w:p>
        </w:tc>
        <w:tc>
          <w:tcPr>
            <w:tcW w:w="225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160" w:line="560" w:lineRule="exact"/>
              <w:textAlignment w:val="center"/>
              <w:rPr>
                <w:rFonts w:hint="eastAsia" w:ascii="仿宋" w:hAnsi="仿宋" w:cs="仿宋"/>
                <w:b/>
                <w:color w:val="000000"/>
                <w:sz w:val="24"/>
              </w:rPr>
            </w:pPr>
            <w:r>
              <w:rPr>
                <w:rFonts w:hint="eastAsia" w:ascii="仿宋" w:hAnsi="仿宋" w:cs="仿宋"/>
                <w:b/>
                <w:color w:val="000000"/>
                <w:kern w:val="0"/>
                <w:sz w:val="24"/>
                <w:lang w:bidi="ar"/>
              </w:rPr>
              <w:t>统一社会信用代码</w:t>
            </w:r>
          </w:p>
        </w:tc>
        <w:tc>
          <w:tcPr>
            <w:tcW w:w="2943" w:type="dxa"/>
            <w:tcBorders>
              <w:top w:val="single" w:color="000000" w:sz="4" w:space="0"/>
              <w:left w:val="single" w:color="000000" w:sz="4" w:space="0"/>
              <w:bottom w:val="single" w:color="000000" w:sz="4" w:space="0"/>
              <w:right w:val="single" w:color="000000" w:sz="12" w:space="0"/>
            </w:tcBorders>
            <w:shd w:val="clear" w:color="auto" w:fill="auto"/>
            <w:vAlign w:val="center"/>
          </w:tcPr>
          <w:p>
            <w:pPr>
              <w:spacing w:after="160" w:line="560" w:lineRule="exact"/>
              <w:jc w:val="center"/>
              <w:rPr>
                <w:rFonts w:hint="eastAsia" w:ascii="仿宋" w:hAnsi="仿宋" w:cs="仿宋"/>
                <w:b/>
                <w:color w:val="000000"/>
                <w:sz w:val="24"/>
              </w:rPr>
            </w:pPr>
          </w:p>
        </w:tc>
      </w:tr>
      <w:tr>
        <w:tblPrEx>
          <w:tblCellMar>
            <w:top w:w="15" w:type="dxa"/>
            <w:left w:w="15" w:type="dxa"/>
            <w:bottom w:w="15" w:type="dxa"/>
            <w:right w:w="15" w:type="dxa"/>
          </w:tblCellMar>
        </w:tblPrEx>
        <w:trPr>
          <w:jc w:val="center"/>
        </w:trPr>
        <w:tc>
          <w:tcPr>
            <w:tcW w:w="1387"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spacing w:after="160" w:line="560" w:lineRule="exact"/>
              <w:textAlignment w:val="center"/>
              <w:rPr>
                <w:rFonts w:hint="eastAsia" w:ascii="仿宋" w:hAnsi="仿宋" w:cs="仿宋"/>
                <w:b/>
                <w:color w:val="000000"/>
                <w:sz w:val="24"/>
              </w:rPr>
            </w:pPr>
            <w:r>
              <w:rPr>
                <w:rFonts w:hint="eastAsia" w:ascii="仿宋" w:hAnsi="仿宋" w:cs="仿宋"/>
                <w:b/>
                <w:color w:val="000000"/>
                <w:kern w:val="0"/>
                <w:sz w:val="24"/>
                <w:lang w:bidi="ar"/>
              </w:rPr>
              <w:t>联系人</w:t>
            </w:r>
          </w:p>
        </w:tc>
        <w:tc>
          <w:tcPr>
            <w:tcW w:w="2853"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160" w:line="560" w:lineRule="exact"/>
              <w:jc w:val="center"/>
              <w:rPr>
                <w:rFonts w:hint="eastAsia" w:ascii="等线" w:hAnsi="等线" w:eastAsia="等线" w:cs="等线"/>
                <w:color w:val="000000"/>
              </w:rPr>
            </w:pPr>
          </w:p>
        </w:tc>
        <w:tc>
          <w:tcPr>
            <w:tcW w:w="225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160" w:line="560" w:lineRule="exact"/>
              <w:textAlignment w:val="center"/>
              <w:rPr>
                <w:rFonts w:hint="eastAsia" w:ascii="仿宋" w:hAnsi="仿宋" w:cs="仿宋"/>
                <w:b/>
                <w:color w:val="000000"/>
                <w:sz w:val="24"/>
              </w:rPr>
            </w:pPr>
            <w:r>
              <w:rPr>
                <w:rFonts w:hint="eastAsia" w:ascii="仿宋" w:hAnsi="仿宋" w:cs="仿宋"/>
                <w:b/>
                <w:color w:val="000000"/>
                <w:kern w:val="0"/>
                <w:sz w:val="24"/>
                <w:lang w:bidi="ar"/>
              </w:rPr>
              <w:t>法定代表人姓名</w:t>
            </w:r>
          </w:p>
        </w:tc>
        <w:tc>
          <w:tcPr>
            <w:tcW w:w="2943" w:type="dxa"/>
            <w:tcBorders>
              <w:top w:val="single" w:color="000000" w:sz="4" w:space="0"/>
              <w:left w:val="single" w:color="000000" w:sz="4" w:space="0"/>
              <w:bottom w:val="single" w:color="000000" w:sz="4" w:space="0"/>
              <w:right w:val="single" w:color="000000" w:sz="12" w:space="0"/>
            </w:tcBorders>
            <w:shd w:val="clear" w:color="auto" w:fill="auto"/>
            <w:vAlign w:val="bottom"/>
          </w:tcPr>
          <w:p>
            <w:pPr>
              <w:spacing w:after="160" w:line="560" w:lineRule="exact"/>
              <w:jc w:val="center"/>
              <w:rPr>
                <w:rFonts w:hint="eastAsia" w:ascii="等线" w:hAnsi="等线" w:eastAsia="等线" w:cs="等线"/>
                <w:color w:val="000000"/>
              </w:rPr>
            </w:pPr>
          </w:p>
        </w:tc>
      </w:tr>
      <w:tr>
        <w:tblPrEx>
          <w:tblCellMar>
            <w:top w:w="15" w:type="dxa"/>
            <w:left w:w="15" w:type="dxa"/>
            <w:bottom w:w="15" w:type="dxa"/>
            <w:right w:w="15" w:type="dxa"/>
          </w:tblCellMar>
        </w:tblPrEx>
        <w:trPr>
          <w:jc w:val="center"/>
        </w:trPr>
        <w:tc>
          <w:tcPr>
            <w:tcW w:w="1387" w:type="dxa"/>
            <w:tcBorders>
              <w:top w:val="single" w:color="000000" w:sz="4" w:space="0"/>
              <w:left w:val="single" w:color="000000" w:sz="12" w:space="0"/>
              <w:bottom w:val="single" w:color="000000" w:sz="4" w:space="0"/>
              <w:right w:val="single" w:color="000000" w:sz="4" w:space="0"/>
            </w:tcBorders>
            <w:shd w:val="clear" w:color="auto" w:fill="auto"/>
            <w:vAlign w:val="center"/>
          </w:tcPr>
          <w:p>
            <w:pPr>
              <w:widowControl/>
              <w:spacing w:after="160" w:line="560" w:lineRule="exact"/>
              <w:textAlignment w:val="center"/>
              <w:rPr>
                <w:rFonts w:hint="eastAsia" w:ascii="仿宋" w:hAnsi="仿宋" w:cs="仿宋"/>
                <w:b/>
                <w:color w:val="000000"/>
                <w:sz w:val="24"/>
              </w:rPr>
            </w:pPr>
            <w:r>
              <w:rPr>
                <w:rFonts w:hint="eastAsia" w:ascii="仿宋" w:hAnsi="仿宋" w:cs="仿宋"/>
                <w:b/>
                <w:color w:val="000000"/>
                <w:kern w:val="0"/>
                <w:sz w:val="24"/>
                <w:lang w:bidi="ar"/>
              </w:rPr>
              <w:t>电子邮箱</w:t>
            </w:r>
          </w:p>
        </w:tc>
        <w:tc>
          <w:tcPr>
            <w:tcW w:w="2853"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after="160" w:line="560" w:lineRule="exact"/>
              <w:jc w:val="center"/>
              <w:rPr>
                <w:rFonts w:hint="eastAsia" w:ascii="仿宋" w:hAnsi="仿宋" w:cs="仿宋"/>
                <w:b/>
                <w:color w:val="000000"/>
                <w:sz w:val="24"/>
              </w:rPr>
            </w:pPr>
          </w:p>
        </w:tc>
        <w:tc>
          <w:tcPr>
            <w:tcW w:w="225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spacing w:after="160" w:line="560" w:lineRule="exact"/>
              <w:textAlignment w:val="center"/>
              <w:rPr>
                <w:rFonts w:hint="eastAsia" w:ascii="仿宋" w:hAnsi="仿宋" w:cs="仿宋"/>
                <w:b/>
                <w:color w:val="000000"/>
                <w:sz w:val="24"/>
              </w:rPr>
            </w:pPr>
            <w:r>
              <w:rPr>
                <w:rFonts w:hint="eastAsia" w:ascii="仿宋" w:hAnsi="仿宋" w:cs="仿宋"/>
                <w:b/>
                <w:color w:val="000000"/>
                <w:kern w:val="0"/>
                <w:sz w:val="24"/>
                <w:lang w:bidi="ar"/>
              </w:rPr>
              <w:t>手机</w:t>
            </w:r>
          </w:p>
        </w:tc>
        <w:tc>
          <w:tcPr>
            <w:tcW w:w="2943" w:type="dxa"/>
            <w:tcBorders>
              <w:top w:val="single" w:color="000000" w:sz="4" w:space="0"/>
              <w:left w:val="single" w:color="000000" w:sz="4" w:space="0"/>
              <w:bottom w:val="single" w:color="000000" w:sz="4" w:space="0"/>
              <w:right w:val="single" w:color="000000" w:sz="12" w:space="0"/>
            </w:tcBorders>
            <w:shd w:val="clear" w:color="auto" w:fill="auto"/>
            <w:vAlign w:val="center"/>
          </w:tcPr>
          <w:p>
            <w:pPr>
              <w:spacing w:after="160" w:line="560" w:lineRule="exact"/>
              <w:jc w:val="center"/>
              <w:rPr>
                <w:rFonts w:hint="eastAsia" w:ascii="仿宋" w:hAnsi="仿宋" w:cs="仿宋"/>
                <w:b/>
                <w:color w:val="000000"/>
                <w:sz w:val="24"/>
              </w:rPr>
            </w:pPr>
          </w:p>
        </w:tc>
      </w:tr>
      <w:tr>
        <w:tblPrEx>
          <w:tblCellMar>
            <w:top w:w="15" w:type="dxa"/>
            <w:left w:w="15" w:type="dxa"/>
            <w:bottom w:w="15" w:type="dxa"/>
            <w:right w:w="15" w:type="dxa"/>
          </w:tblCellMar>
        </w:tblPrEx>
        <w:trPr>
          <w:jc w:val="center"/>
        </w:trPr>
        <w:tc>
          <w:tcPr>
            <w:tcW w:w="1387" w:type="dxa"/>
            <w:tcBorders>
              <w:top w:val="single" w:color="000000" w:sz="4" w:space="0"/>
              <w:left w:val="single" w:color="000000" w:sz="12" w:space="0"/>
              <w:bottom w:val="single" w:color="auto" w:sz="4" w:space="0"/>
              <w:right w:val="single" w:color="000000" w:sz="4" w:space="0"/>
            </w:tcBorders>
            <w:shd w:val="clear" w:color="auto" w:fill="auto"/>
            <w:vAlign w:val="center"/>
          </w:tcPr>
          <w:p>
            <w:pPr>
              <w:widowControl/>
              <w:spacing w:after="160" w:line="560" w:lineRule="exact"/>
              <w:textAlignment w:val="center"/>
              <w:rPr>
                <w:rFonts w:hint="eastAsia" w:ascii="仿宋" w:hAnsi="仿宋" w:cs="仿宋"/>
                <w:b/>
                <w:color w:val="000000"/>
                <w:sz w:val="24"/>
              </w:rPr>
            </w:pPr>
            <w:r>
              <w:rPr>
                <w:rFonts w:hint="eastAsia" w:ascii="仿宋" w:hAnsi="仿宋" w:cs="仿宋"/>
                <w:b/>
                <w:color w:val="000000"/>
                <w:kern w:val="0"/>
                <w:sz w:val="24"/>
                <w:lang w:bidi="ar"/>
              </w:rPr>
              <w:t>通讯地址</w:t>
            </w:r>
          </w:p>
        </w:tc>
        <w:tc>
          <w:tcPr>
            <w:tcW w:w="8050" w:type="dxa"/>
            <w:gridSpan w:val="3"/>
            <w:tcBorders>
              <w:top w:val="single" w:color="000000" w:sz="4" w:space="0"/>
              <w:left w:val="single" w:color="000000" w:sz="4" w:space="0"/>
              <w:bottom w:val="single" w:color="auto" w:sz="4" w:space="0"/>
              <w:right w:val="single" w:color="000000" w:sz="12" w:space="0"/>
            </w:tcBorders>
            <w:shd w:val="clear" w:color="auto" w:fill="auto"/>
            <w:vAlign w:val="center"/>
          </w:tcPr>
          <w:p>
            <w:pPr>
              <w:spacing w:after="160" w:line="560" w:lineRule="exact"/>
              <w:jc w:val="center"/>
              <w:rPr>
                <w:rFonts w:hint="eastAsia" w:ascii="仿宋" w:hAnsi="仿宋" w:cs="仿宋"/>
                <w:b/>
                <w:color w:val="000000"/>
                <w:sz w:val="24"/>
              </w:rPr>
            </w:pPr>
          </w:p>
        </w:tc>
      </w:tr>
      <w:tr>
        <w:tblPrEx>
          <w:tblCellMar>
            <w:top w:w="15" w:type="dxa"/>
            <w:left w:w="15" w:type="dxa"/>
            <w:bottom w:w="15" w:type="dxa"/>
            <w:right w:w="15" w:type="dxa"/>
          </w:tblCellMar>
        </w:tblPrEx>
        <w:trPr>
          <w:jc w:val="center"/>
        </w:trPr>
        <w:tc>
          <w:tcPr>
            <w:tcW w:w="1387" w:type="dxa"/>
            <w:tcBorders>
              <w:top w:val="single" w:color="auto" w:sz="4" w:space="0"/>
              <w:left w:val="single" w:color="000000" w:sz="12" w:space="0"/>
              <w:bottom w:val="single" w:color="000000" w:sz="12" w:space="0"/>
              <w:right w:val="single" w:color="auto" w:sz="4" w:space="0"/>
            </w:tcBorders>
            <w:shd w:val="clear" w:color="auto" w:fill="auto"/>
            <w:vAlign w:val="center"/>
          </w:tcPr>
          <w:p>
            <w:pPr>
              <w:spacing w:after="160" w:line="560" w:lineRule="exact"/>
              <w:rPr>
                <w:rFonts w:hint="eastAsia" w:ascii="仿宋" w:hAnsi="仿宋" w:cs="仿宋"/>
                <w:b/>
                <w:color w:val="000000"/>
                <w:sz w:val="24"/>
              </w:rPr>
            </w:pPr>
            <w:r>
              <w:rPr>
                <w:rFonts w:hint="eastAsia" w:ascii="仿宋" w:hAnsi="仿宋" w:cs="仿宋"/>
                <w:b/>
                <w:color w:val="000000"/>
                <w:kern w:val="0"/>
                <w:sz w:val="24"/>
                <w:lang w:eastAsia="zh-Hans" w:bidi="ar"/>
              </w:rPr>
              <w:t>披露模式</w:t>
            </w:r>
          </w:p>
        </w:tc>
        <w:tc>
          <w:tcPr>
            <w:tcW w:w="8050" w:type="dxa"/>
            <w:gridSpan w:val="3"/>
            <w:tcBorders>
              <w:top w:val="single" w:color="auto" w:sz="4" w:space="0"/>
              <w:left w:val="single" w:color="auto" w:sz="4" w:space="0"/>
              <w:bottom w:val="single" w:color="000000" w:sz="12" w:space="0"/>
              <w:right w:val="single" w:color="000000" w:sz="12" w:space="0"/>
            </w:tcBorders>
            <w:shd w:val="clear" w:color="auto" w:fill="auto"/>
            <w:vAlign w:val="center"/>
          </w:tcPr>
          <w:p>
            <w:pPr>
              <w:spacing w:after="160" w:line="560" w:lineRule="exact"/>
              <w:ind w:firstLine="241" w:firstLineChars="100"/>
              <w:rPr>
                <w:rFonts w:hint="eastAsia" w:ascii="仿宋" w:hAnsi="仿宋" w:cs="仿宋"/>
                <w:b/>
                <w:color w:val="000000"/>
                <w:kern w:val="0"/>
                <w:sz w:val="24"/>
                <w:lang w:eastAsia="zh-Hans" w:bidi="ar"/>
              </w:rPr>
            </w:pPr>
            <w:r>
              <w:rPr>
                <w:rFonts w:hint="eastAsia" w:ascii="仿宋" w:hAnsi="仿宋" w:cs="仿宋"/>
                <w:b/>
                <w:color w:val="000000"/>
                <w:kern w:val="0"/>
                <w:sz w:val="24"/>
                <w:lang w:eastAsia="zh-Hans" w:bidi="ar"/>
              </w:rPr>
              <w:sym w:font="Wingdings 2" w:char="00A3"/>
            </w:r>
            <w:r>
              <w:rPr>
                <w:rFonts w:hint="eastAsia" w:ascii="仿宋" w:hAnsi="仿宋" w:cs="仿宋"/>
                <w:b/>
                <w:color w:val="000000"/>
                <w:kern w:val="0"/>
                <w:sz w:val="24"/>
                <w:lang w:eastAsia="zh-Hans" w:bidi="ar"/>
              </w:rPr>
              <w:t xml:space="preserve"> 自动披露</w:t>
            </w:r>
            <w:r>
              <w:rPr>
                <w:rFonts w:hint="eastAsia" w:ascii="宋体" w:hAnsi="宋体" w:cs="宋体"/>
                <w:b/>
                <w:color w:val="000000"/>
                <w:kern w:val="0"/>
                <w:szCs w:val="21"/>
                <w:lang w:bidi="ar"/>
              </w:rPr>
              <w:t xml:space="preserve"> </w:t>
            </w:r>
            <w:r>
              <w:rPr>
                <w:rFonts w:hint="eastAsia" w:ascii="宋体" w:hAnsi="宋体" w:cs="宋体"/>
                <w:b/>
                <w:color w:val="000000"/>
                <w:kern w:val="0"/>
                <w:szCs w:val="21"/>
                <w:lang w:eastAsia="zh-Hans" w:bidi="ar"/>
              </w:rPr>
              <w:t xml:space="preserve"> </w:t>
            </w:r>
            <w:r>
              <w:rPr>
                <w:rFonts w:hint="eastAsia" w:ascii="仿宋" w:hAnsi="仿宋" w:cs="仿宋"/>
                <w:b/>
                <w:color w:val="000000"/>
                <w:kern w:val="0"/>
                <w:sz w:val="24"/>
                <w:lang w:eastAsia="zh-Hans" w:bidi="ar"/>
              </w:rPr>
              <w:t xml:space="preserve">  </w:t>
            </w:r>
            <w:r>
              <w:rPr>
                <w:rFonts w:hint="eastAsia" w:ascii="仿宋" w:hAnsi="仿宋" w:cs="仿宋"/>
                <w:b/>
                <w:color w:val="000000"/>
                <w:kern w:val="0"/>
                <w:sz w:val="24"/>
                <w:lang w:eastAsia="zh-Hans" w:bidi="ar"/>
              </w:rPr>
              <w:sym w:font="Wingdings 2" w:char="00A3"/>
            </w:r>
            <w:r>
              <w:rPr>
                <w:rFonts w:hint="eastAsia" w:ascii="仿宋" w:hAnsi="仿宋" w:cs="仿宋"/>
                <w:b/>
                <w:color w:val="000000"/>
                <w:kern w:val="0"/>
                <w:sz w:val="24"/>
                <w:lang w:eastAsia="zh-Hans" w:bidi="ar"/>
              </w:rPr>
              <w:t xml:space="preserve"> 手动披露</w:t>
            </w:r>
          </w:p>
        </w:tc>
      </w:tr>
      <w:tr>
        <w:tblPrEx>
          <w:tblCellMar>
            <w:top w:w="15" w:type="dxa"/>
            <w:left w:w="15" w:type="dxa"/>
            <w:bottom w:w="15" w:type="dxa"/>
            <w:right w:w="15" w:type="dxa"/>
          </w:tblCellMar>
        </w:tblPrEx>
        <w:trPr>
          <w:trHeight w:val="420" w:hRule="atLeast"/>
          <w:jc w:val="center"/>
        </w:trPr>
        <w:tc>
          <w:tcPr>
            <w:tcW w:w="9437" w:type="dxa"/>
            <w:gridSpan w:val="4"/>
            <w:tcBorders>
              <w:left w:val="single" w:color="000000" w:sz="12" w:space="0"/>
              <w:right w:val="single" w:color="000000" w:sz="12" w:space="0"/>
            </w:tcBorders>
            <w:shd w:val="clear" w:color="auto" w:fill="auto"/>
            <w:vAlign w:val="center"/>
          </w:tcPr>
          <w:p>
            <w:pPr>
              <w:widowControl/>
              <w:spacing w:after="160" w:line="276" w:lineRule="auto"/>
              <w:jc w:val="center"/>
              <w:textAlignment w:val="center"/>
              <w:rPr>
                <w:rFonts w:hint="eastAsia" w:ascii="黑体" w:hAnsi="宋体" w:eastAsia="黑体"/>
                <w:color w:val="000000"/>
                <w:sz w:val="28"/>
                <w:szCs w:val="28"/>
              </w:rPr>
            </w:pPr>
            <w:r>
              <w:rPr>
                <w:rFonts w:hint="eastAsia" w:ascii="黑体" w:hAnsi="宋体" w:eastAsia="黑体"/>
                <w:color w:val="000000"/>
                <w:kern w:val="0"/>
                <w:sz w:val="28"/>
                <w:szCs w:val="28"/>
                <w:lang w:bidi="ar"/>
              </w:rPr>
              <w:t>机构申请及声明</w:t>
            </w:r>
          </w:p>
        </w:tc>
      </w:tr>
      <w:tr>
        <w:tblPrEx>
          <w:tblCellMar>
            <w:top w:w="15" w:type="dxa"/>
            <w:left w:w="15" w:type="dxa"/>
            <w:bottom w:w="15" w:type="dxa"/>
            <w:right w:w="15" w:type="dxa"/>
          </w:tblCellMar>
        </w:tblPrEx>
        <w:trPr>
          <w:trHeight w:val="5117" w:hRule="atLeast"/>
          <w:jc w:val="center"/>
        </w:trPr>
        <w:tc>
          <w:tcPr>
            <w:tcW w:w="9437" w:type="dxa"/>
            <w:gridSpan w:val="4"/>
            <w:tcBorders>
              <w:top w:val="single" w:color="000000" w:sz="12" w:space="0"/>
              <w:left w:val="single" w:color="000000" w:sz="12" w:space="0"/>
              <w:bottom w:val="single" w:color="000000" w:sz="12" w:space="0"/>
              <w:right w:val="single" w:color="000000" w:sz="12" w:space="0"/>
            </w:tcBorders>
            <w:shd w:val="clear" w:color="auto" w:fill="auto"/>
          </w:tcPr>
          <w:p>
            <w:pPr>
              <w:widowControl/>
              <w:spacing w:after="160" w:line="276" w:lineRule="auto"/>
              <w:textAlignment w:val="top"/>
              <w:rPr>
                <w:rFonts w:hint="eastAsia" w:ascii="仿宋" w:hAnsi="仿宋" w:cs="仿宋"/>
                <w:b/>
                <w:color w:val="000000"/>
                <w:sz w:val="24"/>
              </w:rPr>
            </w:pPr>
            <w:r>
              <w:rPr>
                <w:rFonts w:hint="eastAsia" w:ascii="仿宋" w:hAnsi="仿宋" w:cs="仿宋"/>
                <w:b/>
                <w:color w:val="000000"/>
                <w:kern w:val="0"/>
                <w:sz w:val="24"/>
                <w:lang w:bidi="ar"/>
              </w:rPr>
              <w:t xml:space="preserve">    </w:t>
            </w:r>
            <w:r>
              <w:rPr>
                <w:rFonts w:hint="eastAsia" w:ascii="仿宋" w:hAnsi="仿宋" w:cs="仿宋"/>
                <w:b/>
                <w:color w:val="000000"/>
                <w:kern w:val="0"/>
                <w:sz w:val="24"/>
                <w:lang w:bidi="ar"/>
              </w:rPr>
              <w:br w:type="textWrapping"/>
            </w:r>
            <w:r>
              <w:rPr>
                <w:rFonts w:hint="eastAsia" w:ascii="仿宋" w:hAnsi="仿宋" w:cs="仿宋"/>
                <w:b/>
                <w:color w:val="000000"/>
                <w:kern w:val="0"/>
                <w:sz w:val="24"/>
                <w:lang w:bidi="ar"/>
              </w:rPr>
              <w:t xml:space="preserve">    本单位申请注册票据信息披露平台用户，以上填写信息全部真实、有效,声明已阅读并同意《商业汇票信息披露平台用户服务协议》。</w:t>
            </w:r>
            <w:r>
              <w:rPr>
                <w:rFonts w:hint="eastAsia" w:ascii="仿宋" w:hAnsi="仿宋" w:cs="仿宋"/>
                <w:b/>
                <w:color w:val="000000"/>
                <w:kern w:val="0"/>
                <w:sz w:val="24"/>
                <w:lang w:bidi="ar"/>
              </w:rPr>
              <w:br w:type="textWrapping"/>
            </w:r>
            <w:r>
              <w:rPr>
                <w:rFonts w:hint="eastAsia" w:ascii="仿宋" w:hAnsi="仿宋" w:cs="仿宋"/>
                <w:b/>
                <w:color w:val="000000"/>
                <w:kern w:val="0"/>
                <w:sz w:val="24"/>
                <w:lang w:bidi="ar"/>
              </w:rPr>
              <w:br w:type="textWrapping"/>
            </w:r>
            <w:r>
              <w:rPr>
                <w:rFonts w:hint="eastAsia" w:ascii="仿宋" w:hAnsi="仿宋" w:cs="仿宋"/>
                <w:b/>
                <w:color w:val="000000"/>
                <w:kern w:val="0"/>
                <w:sz w:val="24"/>
                <w:lang w:bidi="ar"/>
              </w:rPr>
              <w:br w:type="textWrapping"/>
            </w:r>
            <w:r>
              <w:rPr>
                <w:rFonts w:hint="eastAsia" w:ascii="仿宋" w:hAnsi="仿宋" w:cs="仿宋"/>
                <w:b/>
                <w:color w:val="000000"/>
                <w:kern w:val="0"/>
                <w:sz w:val="24"/>
                <w:lang w:bidi="ar"/>
              </w:rPr>
              <w:t xml:space="preserve">                                          </w:t>
            </w:r>
            <w:r>
              <w:rPr>
                <w:rFonts w:hint="eastAsia" w:ascii="仿宋" w:hAnsi="仿宋" w:cs="仿宋"/>
                <w:b/>
                <w:color w:val="000000"/>
                <w:kern w:val="0"/>
                <w:sz w:val="24"/>
                <w:lang w:bidi="ar"/>
              </w:rPr>
              <w:br w:type="textWrapping"/>
            </w:r>
            <w:r>
              <w:rPr>
                <w:rFonts w:hint="eastAsia" w:ascii="仿宋" w:hAnsi="仿宋" w:cs="仿宋"/>
                <w:b/>
                <w:color w:val="000000"/>
                <w:kern w:val="0"/>
                <w:sz w:val="24"/>
                <w:lang w:bidi="ar"/>
              </w:rPr>
              <w:t xml:space="preserve">                                          机构名称（单位公章）</w:t>
            </w:r>
            <w:r>
              <w:rPr>
                <w:rFonts w:hint="eastAsia" w:ascii="仿宋" w:hAnsi="仿宋" w:cs="仿宋"/>
                <w:b/>
                <w:color w:val="000000"/>
                <w:kern w:val="0"/>
                <w:sz w:val="24"/>
                <w:lang w:bidi="ar"/>
              </w:rPr>
              <w:br w:type="textWrapping"/>
            </w:r>
            <w:r>
              <w:rPr>
                <w:rFonts w:hint="eastAsia" w:ascii="仿宋" w:hAnsi="仿宋" w:cs="仿宋"/>
                <w:b/>
                <w:color w:val="000000"/>
                <w:kern w:val="0"/>
                <w:sz w:val="24"/>
                <w:lang w:bidi="ar"/>
              </w:rPr>
              <w:t xml:space="preserve">                                             年    月    日</w:t>
            </w:r>
          </w:p>
        </w:tc>
      </w:tr>
    </w:tbl>
    <w:p>
      <w:pPr>
        <w:rPr>
          <w:rFonts w:hint="eastAsia" w:ascii="仿宋" w:hAnsi="仿宋"/>
          <w:szCs w:val="32"/>
        </w:rPr>
      </w:pPr>
    </w:p>
    <w:p>
      <w:pPr>
        <w:adjustRightInd w:val="0"/>
        <w:snapToGrid w:val="0"/>
        <w:spacing w:line="312" w:lineRule="auto"/>
        <w:rPr>
          <w:rFonts w:hint="eastAsia" w:ascii="仿宋" w:hAnsi="仿宋" w:eastAsia="仿宋"/>
        </w:rPr>
      </w:pPr>
    </w:p>
    <w:p>
      <w:pPr>
        <w:rPr>
          <w:rFonts w:hint="eastAsia" w:ascii="仿宋" w:hAnsi="仿宋" w:eastAsia="仿宋" w:cs="仿宋"/>
        </w:rPr>
      </w:pPr>
    </w:p>
    <w:p>
      <w:pPr>
        <w:adjustRightInd w:val="0"/>
        <w:snapToGrid w:val="0"/>
        <w:spacing w:line="312" w:lineRule="auto"/>
        <w:ind w:firstLine="420" w:firstLineChars="200"/>
        <w:jc w:val="left"/>
        <w:rPr>
          <w:rFonts w:hint="eastAsia" w:ascii="仿宋" w:hAnsi="仿宋" w:eastAsia="仿宋" w:cs="仿宋"/>
        </w:rPr>
      </w:pP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