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417" w:name="_Toc6399"/>
      <w:r>
        <w:rPr>
          <w:rFonts w:hint="eastAsia"/>
        </w:rPr>
        <w:t>533--中国人民银行中国银行保险监督管理委员会</w:t>
      </w:r>
      <w:r>
        <w:rPr>
          <w:rFonts w:hint="eastAsia"/>
        </w:rPr>
        <w:br w:type="textWrapping"/>
      </w:r>
      <w:r>
        <w:rPr>
          <w:rFonts w:hint="eastAsia"/>
        </w:rPr>
        <w:t>关于建立银行业金融机构房地产贷款集中度管理制度的通知</w:t>
      </w:r>
      <w:r>
        <w:rPr>
          <w:rFonts w:hint="eastAsia"/>
        </w:rPr>
        <w:br w:type="textWrapping"/>
      </w:r>
      <w:r>
        <w:rPr>
          <w:rFonts w:hint="eastAsia"/>
        </w:rPr>
        <w:t>银发〔2020〕322号</w:t>
      </w:r>
      <w:bookmarkEnd w:id="1417"/>
    </w:p>
    <w:p>
      <w:pPr>
        <w:pStyle w:val="299"/>
        <w:autoSpaceDN w:val="0"/>
        <w:adjustRightInd w:val="0"/>
        <w:snapToGrid w:val="0"/>
        <w:spacing w:line="312" w:lineRule="auto"/>
        <w:rPr>
          <w:rFonts w:hint="eastAsia" w:ascii="仿宋" w:hAnsi="仿宋" w:eastAsia="仿宋" w:cs="仿宋"/>
          <w:szCs w:val="30"/>
        </w:rPr>
      </w:pPr>
      <w:r>
        <w:rPr>
          <w:rFonts w:hint="eastAsia" w:ascii="仿宋" w:hAnsi="仿宋" w:eastAsia="仿宋" w:cs="仿宋"/>
          <w:szCs w:val="30"/>
        </w:rPr>
        <w:t>中国人民银行上海总部，各分行、营业管理部，各省会（首府）城市中心支行，各副省级城市中心支行；各银保监局；国家开发银行，各政策性银行、国有商业银行、股份制商业银行，中国邮政储蓄银行：</w:t>
      </w:r>
    </w:p>
    <w:p>
      <w:pPr>
        <w:pStyle w:val="299"/>
        <w:autoSpaceDN w:val="0"/>
        <w:adjustRightInd w:val="0"/>
        <w:snapToGrid w:val="0"/>
        <w:spacing w:line="312" w:lineRule="auto"/>
        <w:ind w:firstLine="420" w:firstLineChars="200"/>
        <w:rPr>
          <w:rFonts w:hint="eastAsia" w:ascii="仿宋" w:hAnsi="仿宋" w:eastAsia="仿宋" w:cs="仿宋"/>
          <w:szCs w:val="30"/>
        </w:rPr>
      </w:pPr>
      <w:r>
        <w:rPr>
          <w:rFonts w:hint="eastAsia" w:ascii="仿宋" w:hAnsi="仿宋" w:eastAsia="仿宋" w:cs="仿宋"/>
          <w:szCs w:val="30"/>
        </w:rPr>
        <w:t>为增强银行业金融机构抵御房地产市场波动的能力，防范金融体系对房地产贷款过度集中带来的潜在系统性金融风险，提高银行业金融机构稳健性，人民银行、银保监会决定建立银行业金融机构房地产贷款集中度管理制度。现将有关事项通知如下：</w:t>
      </w:r>
    </w:p>
    <w:p>
      <w:pPr>
        <w:pStyle w:val="299"/>
        <w:autoSpaceDN w:val="0"/>
        <w:adjustRightInd w:val="0"/>
        <w:snapToGrid w:val="0"/>
        <w:spacing w:line="312" w:lineRule="auto"/>
        <w:ind w:firstLine="420" w:firstLineChars="200"/>
        <w:rPr>
          <w:rFonts w:hint="eastAsia" w:ascii="仿宋" w:hAnsi="仿宋" w:eastAsia="仿宋" w:cs="仿宋"/>
          <w:szCs w:val="30"/>
        </w:rPr>
      </w:pPr>
      <w:r>
        <w:rPr>
          <w:rFonts w:hint="eastAsia" w:ascii="仿宋" w:hAnsi="仿宋" w:eastAsia="仿宋" w:cs="仿宋"/>
          <w:szCs w:val="30"/>
        </w:rPr>
        <w:t>一、本通知所称银行业金融机构是指在中华人民共和国境内设立的中资法人银行业金融机构。</w:t>
      </w:r>
    </w:p>
    <w:p>
      <w:pPr>
        <w:pStyle w:val="299"/>
        <w:autoSpaceDN w:val="0"/>
        <w:adjustRightInd w:val="0"/>
        <w:snapToGrid w:val="0"/>
        <w:spacing w:line="312" w:lineRule="auto"/>
        <w:ind w:firstLine="420" w:firstLineChars="200"/>
        <w:rPr>
          <w:rFonts w:hint="eastAsia" w:ascii="仿宋" w:hAnsi="仿宋" w:eastAsia="仿宋" w:cs="仿宋"/>
          <w:szCs w:val="30"/>
        </w:rPr>
      </w:pPr>
      <w:r>
        <w:rPr>
          <w:rFonts w:hint="eastAsia" w:ascii="仿宋" w:hAnsi="仿宋" w:eastAsia="仿宋" w:cs="仿宋"/>
          <w:szCs w:val="30"/>
        </w:rPr>
        <w:t>二、本通知所称房地产贷款集中度管理是指银行业金融机构（不含境外分行）房地产贷款余额占该机构人民币各项贷款余额的比例（以下简称房地产贷款占比）和个人住房贷款余额占该机构人民币各项贷款余额的比例（以下简称个人住房贷款占比）应满足人民银行、银保监会确定的管理要求，即不得高于人民银行、银保监会确定的房地产贷款占比上限和个人住房贷款占比上限，开发性银行和政策性银行参照执行。</w:t>
      </w:r>
    </w:p>
    <w:p>
      <w:pPr>
        <w:pStyle w:val="299"/>
        <w:autoSpaceDN w:val="0"/>
        <w:adjustRightInd w:val="0"/>
        <w:snapToGrid w:val="0"/>
        <w:spacing w:line="312" w:lineRule="auto"/>
        <w:ind w:firstLine="420" w:firstLineChars="200"/>
        <w:jc w:val="center"/>
        <w:rPr>
          <w:rFonts w:hint="eastAsia" w:ascii="仿宋" w:hAnsi="仿宋" w:eastAsia="仿宋" w:cs="仿宋"/>
        </w:rPr>
      </w:pPr>
      <w:r>
        <w:rPr>
          <w:rFonts w:hint="eastAsia" w:ascii="仿宋" w:hAnsi="仿宋" w:eastAsia="仿宋" w:cs="仿宋"/>
        </w:rPr>
        <w:drawing>
          <wp:inline distT="0" distB="0" distL="114300" distR="114300">
            <wp:extent cx="3562350" cy="466725"/>
            <wp:effectExtent l="0" t="0" r="0" b="8890"/>
            <wp:docPr id="6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14"/>
                    <pic:cNvPicPr>
                      <a:picLocks noChangeAspect="1"/>
                    </pic:cNvPicPr>
                  </pic:nvPicPr>
                  <pic:blipFill>
                    <a:blip r:embed="rId69"/>
                    <a:stretch>
                      <a:fillRect/>
                    </a:stretch>
                  </pic:blipFill>
                  <pic:spPr>
                    <a:xfrm>
                      <a:off x="0" y="0"/>
                      <a:ext cx="3562350" cy="466725"/>
                    </a:xfrm>
                    <a:prstGeom prst="rect">
                      <a:avLst/>
                    </a:prstGeom>
                    <a:noFill/>
                    <a:ln>
                      <a:noFill/>
                    </a:ln>
                  </pic:spPr>
                </pic:pic>
              </a:graphicData>
            </a:graphic>
          </wp:inline>
        </w:drawing>
      </w:r>
    </w:p>
    <w:p>
      <w:pPr>
        <w:pStyle w:val="299"/>
        <w:autoSpaceDN w:val="0"/>
        <w:adjustRightInd w:val="0"/>
        <w:snapToGrid w:val="0"/>
        <w:spacing w:line="312" w:lineRule="auto"/>
        <w:ind w:firstLine="420" w:firstLineChars="200"/>
        <w:jc w:val="center"/>
        <w:rPr>
          <w:rFonts w:hint="eastAsia" w:ascii="仿宋" w:hAnsi="仿宋" w:eastAsia="仿宋" w:cs="仿宋"/>
          <w:szCs w:val="30"/>
        </w:rPr>
      </w:pPr>
      <w:r>
        <w:rPr>
          <w:rFonts w:hint="eastAsia" w:ascii="仿宋" w:hAnsi="仿宋" w:eastAsia="仿宋" w:cs="仿宋"/>
          <w:szCs w:val="30"/>
        </w:rPr>
        <w:drawing>
          <wp:inline distT="0" distB="0" distL="114300" distR="114300">
            <wp:extent cx="3705225" cy="476250"/>
            <wp:effectExtent l="0" t="0" r="9525" b="0"/>
            <wp:docPr id="6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13"/>
                    <pic:cNvPicPr>
                      <a:picLocks noChangeAspect="1"/>
                    </pic:cNvPicPr>
                  </pic:nvPicPr>
                  <pic:blipFill>
                    <a:blip r:embed="rId70"/>
                    <a:stretch>
                      <a:fillRect/>
                    </a:stretch>
                  </pic:blipFill>
                  <pic:spPr>
                    <a:xfrm>
                      <a:off x="0" y="0"/>
                      <a:ext cx="3705225" cy="476250"/>
                    </a:xfrm>
                    <a:prstGeom prst="rect">
                      <a:avLst/>
                    </a:prstGeom>
                    <a:noFill/>
                    <a:ln>
                      <a:noFill/>
                    </a:ln>
                  </pic:spPr>
                </pic:pic>
              </a:graphicData>
            </a:graphic>
          </wp:inline>
        </w:drawing>
      </w:r>
    </w:p>
    <w:p>
      <w:pPr>
        <w:pStyle w:val="299"/>
        <w:autoSpaceDN w:val="0"/>
        <w:adjustRightInd w:val="0"/>
        <w:snapToGrid w:val="0"/>
        <w:spacing w:line="312" w:lineRule="auto"/>
        <w:ind w:firstLine="420" w:firstLineChars="200"/>
        <w:rPr>
          <w:rFonts w:hint="eastAsia" w:ascii="仿宋" w:hAnsi="仿宋" w:eastAsia="仿宋" w:cs="仿宋"/>
          <w:szCs w:val="30"/>
        </w:rPr>
      </w:pPr>
      <w:r>
        <w:rPr>
          <w:rFonts w:hint="eastAsia" w:ascii="仿宋" w:hAnsi="仿宋" w:eastAsia="仿宋" w:cs="仿宋"/>
          <w:szCs w:val="30"/>
        </w:rPr>
        <w:t>三、人民银行、银保监会根据银行业金融机构资产规模及机构类型，分档对房地产贷款集中度进行管理（具体分档及相应管理要求见附件），并综合考虑银行业金融机构的规模发展、房地产系统性金融风险表现等因素，适时调整适用机构覆盖范围、分档设置、管理要求和相关指标的统计口径。</w:t>
      </w:r>
    </w:p>
    <w:p>
      <w:pPr>
        <w:pStyle w:val="299"/>
        <w:autoSpaceDN w:val="0"/>
        <w:adjustRightInd w:val="0"/>
        <w:snapToGrid w:val="0"/>
        <w:spacing w:line="312" w:lineRule="auto"/>
        <w:ind w:firstLine="420" w:firstLineChars="200"/>
        <w:rPr>
          <w:rFonts w:hint="eastAsia" w:ascii="仿宋" w:hAnsi="仿宋" w:eastAsia="仿宋" w:cs="仿宋"/>
          <w:szCs w:val="30"/>
        </w:rPr>
      </w:pPr>
      <w:r>
        <w:rPr>
          <w:rFonts w:hint="eastAsia" w:ascii="仿宋" w:hAnsi="仿宋" w:eastAsia="仿宋" w:cs="仿宋"/>
          <w:szCs w:val="30"/>
        </w:rPr>
        <w:t>四、人民银行副省级城市中心支行以上分支机构会同所在地银保监会派出机构，可在充分论证的前提下，结合所在地经济金融发展水平、辖区内地方法人银行业金融机构的具体情况和系统性金融风险特点，以本通知第三档、第四档、第五档房地产贷款集中度管理要求为基准，在增减2.5个百分点的范围内，合理确定辖区内适用于相应档次的地方法人银行业金融机构房地产贷款集中度管理要求。人民银行、银保监会将对人民银行副省级城市中心支行以上分支机构、银保监会派出机构确定辖区内地方法人银行业金融机构房地产贷款集中度管理要求的行为进行监督管理。</w:t>
      </w:r>
    </w:p>
    <w:p>
      <w:pPr>
        <w:pStyle w:val="299"/>
        <w:autoSpaceDN w:val="0"/>
        <w:adjustRightInd w:val="0"/>
        <w:snapToGrid w:val="0"/>
        <w:spacing w:line="312" w:lineRule="auto"/>
        <w:ind w:firstLine="420" w:firstLineChars="200"/>
        <w:rPr>
          <w:rFonts w:hint="eastAsia" w:ascii="仿宋" w:hAnsi="仿宋" w:eastAsia="仿宋" w:cs="仿宋"/>
          <w:szCs w:val="30"/>
        </w:rPr>
      </w:pPr>
      <w:r>
        <w:rPr>
          <w:rFonts w:hint="eastAsia" w:ascii="仿宋" w:hAnsi="仿宋" w:eastAsia="仿宋" w:cs="仿宋"/>
          <w:szCs w:val="30"/>
        </w:rPr>
        <w:t>五、2020年12月末，银行业金融机构房地产贷款占比、个人住房贷款占比超出管理要求，超出2个百分点以内的，业务调整过渡期为自本通知实施之日起2年；超出2个百分点及以上的，业务调整过渡期为自本通知实施之日起4年。房地产贷款占比、个人住房贷款占比的业务调整过渡期分别设置。</w:t>
      </w:r>
    </w:p>
    <w:p>
      <w:pPr>
        <w:pStyle w:val="299"/>
        <w:autoSpaceDN w:val="0"/>
        <w:adjustRightInd w:val="0"/>
        <w:snapToGrid w:val="0"/>
        <w:spacing w:line="312" w:lineRule="auto"/>
        <w:ind w:firstLine="420" w:firstLineChars="200"/>
        <w:rPr>
          <w:rFonts w:hint="eastAsia" w:ascii="仿宋" w:hAnsi="仿宋" w:eastAsia="仿宋" w:cs="仿宋"/>
          <w:szCs w:val="30"/>
        </w:rPr>
      </w:pPr>
      <w:r>
        <w:rPr>
          <w:rFonts w:hint="eastAsia" w:ascii="仿宋" w:hAnsi="仿宋" w:eastAsia="仿宋" w:cs="仿宋"/>
          <w:szCs w:val="30"/>
        </w:rPr>
        <w:t>六、房地产贷款集中度超出管理要求的银行业金融机构，须制定业务调整过渡期内逐步达到管理要求的调整方案，明确向管理要求边际收敛的具体举措。适用于第一档和第二档房地产贷款集中度管理要求的银行业金融机构，于本通知实施之日起1个月内将调整方案报送人民银行、银保监会，并按季度报告执行情况。适用于第三档、第四档、第五档房地产贷款集中度管理要求的银行业金融机构，于本通知实施之日起1个月内将调整方案报送当地人民银行分支机构、银保监会派出机构，并按季度报告执行情况。</w:t>
      </w:r>
    </w:p>
    <w:p>
      <w:pPr>
        <w:pStyle w:val="299"/>
        <w:autoSpaceDN w:val="0"/>
        <w:adjustRightInd w:val="0"/>
        <w:snapToGrid w:val="0"/>
        <w:spacing w:line="312" w:lineRule="auto"/>
        <w:ind w:firstLine="420" w:firstLineChars="200"/>
        <w:rPr>
          <w:rFonts w:hint="eastAsia" w:ascii="仿宋" w:hAnsi="仿宋" w:eastAsia="仿宋" w:cs="仿宋"/>
          <w:szCs w:val="30"/>
        </w:rPr>
      </w:pPr>
      <w:r>
        <w:rPr>
          <w:rFonts w:hint="eastAsia" w:ascii="仿宋" w:hAnsi="仿宋" w:eastAsia="仿宋" w:cs="仿宋"/>
          <w:szCs w:val="30"/>
        </w:rPr>
        <w:t>七、人民银行、银保监会及人民银行分支机构、银保监会派出机构定期监测、评估执行情况。</w:t>
      </w:r>
    </w:p>
    <w:p>
      <w:pPr>
        <w:pStyle w:val="299"/>
        <w:autoSpaceDN w:val="0"/>
        <w:adjustRightInd w:val="0"/>
        <w:snapToGrid w:val="0"/>
        <w:spacing w:line="312" w:lineRule="auto"/>
        <w:ind w:firstLine="420" w:firstLineChars="200"/>
        <w:rPr>
          <w:rFonts w:hint="eastAsia" w:ascii="仿宋" w:hAnsi="仿宋" w:eastAsia="仿宋" w:cs="仿宋"/>
          <w:szCs w:val="30"/>
        </w:rPr>
      </w:pPr>
      <w:r>
        <w:rPr>
          <w:rFonts w:hint="eastAsia" w:ascii="仿宋" w:hAnsi="仿宋" w:eastAsia="仿宋" w:cs="仿宋"/>
          <w:szCs w:val="30"/>
        </w:rPr>
        <w:t>八、房地产贷款集中度符合管理要求的银行业金融机构，应稳健开展房地产贷款相关业务，保持房地产贷款占比、个人住房贷款占比基本稳定。</w:t>
      </w:r>
    </w:p>
    <w:p>
      <w:pPr>
        <w:pStyle w:val="299"/>
        <w:autoSpaceDN w:val="0"/>
        <w:adjustRightInd w:val="0"/>
        <w:snapToGrid w:val="0"/>
        <w:spacing w:line="312" w:lineRule="auto"/>
        <w:ind w:firstLine="420" w:firstLineChars="200"/>
        <w:rPr>
          <w:rFonts w:hint="eastAsia" w:ascii="仿宋" w:hAnsi="仿宋" w:eastAsia="仿宋" w:cs="仿宋"/>
          <w:szCs w:val="30"/>
        </w:rPr>
      </w:pPr>
      <w:r>
        <w:rPr>
          <w:rFonts w:hint="eastAsia" w:ascii="仿宋" w:hAnsi="仿宋" w:eastAsia="仿宋" w:cs="仿宋"/>
          <w:szCs w:val="30"/>
        </w:rPr>
        <w:t>九、业务调整过渡期结束后因客观原因未能满足房地产贷款集中度管理要求的，由银行业金融机构提出申请，经人民银行、银保监会或当地人民银行分支机构、银保监会派出机构评估后认为合理的，可适当延长业务调整过渡期。</w:t>
      </w:r>
    </w:p>
    <w:p>
      <w:pPr>
        <w:pStyle w:val="299"/>
        <w:autoSpaceDN w:val="0"/>
        <w:adjustRightInd w:val="0"/>
        <w:snapToGrid w:val="0"/>
        <w:spacing w:line="312" w:lineRule="auto"/>
        <w:ind w:firstLine="420" w:firstLineChars="200"/>
        <w:rPr>
          <w:rFonts w:hint="eastAsia" w:ascii="仿宋" w:hAnsi="仿宋" w:eastAsia="仿宋" w:cs="仿宋"/>
          <w:szCs w:val="30"/>
        </w:rPr>
      </w:pPr>
      <w:r>
        <w:rPr>
          <w:rFonts w:hint="eastAsia" w:ascii="仿宋" w:hAnsi="仿宋" w:eastAsia="仿宋" w:cs="仿宋"/>
          <w:szCs w:val="30"/>
        </w:rPr>
        <w:t>十、人民银行、银保监会将对未执行本通知要求的银行业金融机构，采取额外资本要求、调整房地产资产风险权重等措施。</w:t>
      </w:r>
    </w:p>
    <w:p>
      <w:pPr>
        <w:pStyle w:val="299"/>
        <w:autoSpaceDN w:val="0"/>
        <w:adjustRightInd w:val="0"/>
        <w:snapToGrid w:val="0"/>
        <w:spacing w:line="312" w:lineRule="auto"/>
        <w:ind w:firstLine="420" w:firstLineChars="200"/>
        <w:rPr>
          <w:rFonts w:hint="eastAsia" w:ascii="仿宋" w:hAnsi="仿宋" w:eastAsia="仿宋" w:cs="仿宋"/>
          <w:szCs w:val="30"/>
        </w:rPr>
      </w:pPr>
      <w:r>
        <w:rPr>
          <w:rFonts w:hint="eastAsia" w:ascii="仿宋" w:hAnsi="仿宋" w:eastAsia="仿宋" w:cs="仿宋"/>
          <w:szCs w:val="30"/>
        </w:rPr>
        <w:t>十一、本通知自2021年1月1日起实施。</w:t>
      </w:r>
    </w:p>
    <w:p>
      <w:pPr>
        <w:pStyle w:val="299"/>
        <w:autoSpaceDN w:val="0"/>
        <w:adjustRightInd w:val="0"/>
        <w:snapToGrid w:val="0"/>
        <w:spacing w:line="312" w:lineRule="auto"/>
        <w:ind w:firstLine="420" w:firstLineChars="200"/>
        <w:rPr>
          <w:rFonts w:hint="eastAsia" w:ascii="仿宋" w:hAnsi="仿宋" w:eastAsia="仿宋" w:cs="仿宋"/>
          <w:spacing w:val="4"/>
          <w:szCs w:val="30"/>
        </w:rPr>
      </w:pPr>
      <w:r>
        <w:rPr>
          <w:rFonts w:hint="eastAsia" w:ascii="仿宋" w:hAnsi="仿宋" w:eastAsia="仿宋" w:cs="仿宋"/>
          <w:szCs w:val="30"/>
        </w:rPr>
        <w:t>请人民银行上海总部，各分行、营业管理部，各省会（首府）城市中心支行，各副省级城市中心支行将本通知转发至辖区内人民银行分支机构、城市商业银行、农村商业银行、农村合作银行、农村信用社、村镇银行、民营银行。请各银保监局将本通知转发至辖内各银保监分局。</w:t>
      </w:r>
    </w:p>
    <w:p>
      <w:pPr>
        <w:adjustRightInd w:val="0"/>
        <w:snapToGrid w:val="0"/>
        <w:spacing w:line="312" w:lineRule="auto"/>
        <w:ind w:firstLine="420" w:firstLineChars="200"/>
        <w:rPr>
          <w:rFonts w:hint="eastAsia" w:ascii="仿宋" w:hAnsi="仿宋" w:eastAsia="仿宋" w:cs="仿宋"/>
          <w:szCs w:val="24"/>
        </w:rPr>
      </w:pPr>
      <w:r>
        <w:rPr>
          <w:rFonts w:hint="eastAsia" w:ascii="仿宋" w:hAnsi="仿宋" w:eastAsia="仿宋" w:cs="仿宋"/>
          <w:szCs w:val="24"/>
          <w:lang w:bidi="ar"/>
        </w:rPr>
        <w:t>附件：房地产贷款集中度管理要求</w:t>
      </w:r>
    </w:p>
    <w:p>
      <w:pPr>
        <w:adjustRightInd w:val="0"/>
        <w:snapToGrid w:val="0"/>
        <w:spacing w:line="312" w:lineRule="auto"/>
        <w:ind w:right="600" w:firstLine="420" w:firstLineChars="200"/>
        <w:rPr>
          <w:rFonts w:hint="eastAsia" w:ascii="仿宋" w:hAnsi="仿宋" w:eastAsia="仿宋" w:cs="仿宋"/>
          <w:szCs w:val="24"/>
        </w:rPr>
      </w:pPr>
      <w:r>
        <w:rPr>
          <w:rFonts w:hint="eastAsia" w:ascii="仿宋" w:hAnsi="仿宋" w:eastAsia="仿宋" w:cs="仿宋"/>
          <w:szCs w:val="24"/>
          <w:lang w:bidi="ar"/>
        </w:rPr>
        <w:t>中国人民银行银保监会</w:t>
      </w:r>
    </w:p>
    <w:p>
      <w:pPr>
        <w:adjustRightInd w:val="0"/>
        <w:snapToGrid w:val="0"/>
        <w:spacing w:line="312" w:lineRule="auto"/>
        <w:ind w:firstLine="420" w:firstLineChars="200"/>
        <w:rPr>
          <w:rFonts w:hint="eastAsia" w:ascii="仿宋" w:hAnsi="仿宋" w:eastAsia="仿宋" w:cs="仿宋"/>
          <w:szCs w:val="24"/>
        </w:rPr>
      </w:pPr>
      <w:r>
        <w:rPr>
          <w:rFonts w:hint="eastAsia" w:ascii="仿宋" w:hAnsi="仿宋" w:eastAsia="仿宋" w:cs="仿宋"/>
          <w:szCs w:val="24"/>
          <w:lang w:bidi="ar"/>
        </w:rPr>
        <w:t>2020年12月28日</w:t>
      </w:r>
    </w:p>
    <w:p>
      <w:pPr>
        <w:adjustRightInd w:val="0"/>
        <w:snapToGrid w:val="0"/>
        <w:spacing w:line="312" w:lineRule="auto"/>
        <w:ind w:firstLine="420" w:firstLineChars="200"/>
        <w:rPr>
          <w:rFonts w:hint="eastAsia" w:ascii="仿宋" w:hAnsi="仿宋" w:eastAsia="仿宋" w:cs="仿宋"/>
          <w:bCs/>
          <w:szCs w:val="28"/>
        </w:rPr>
      </w:pPr>
      <w:r>
        <w:rPr>
          <w:rFonts w:hint="eastAsia" w:ascii="仿宋" w:hAnsi="仿宋" w:eastAsia="仿宋" w:cs="仿宋"/>
          <w:szCs w:val="24"/>
          <w:lang w:bidi="ar"/>
        </w:rPr>
        <w:br w:type="page"/>
      </w:r>
      <w:r>
        <w:rPr>
          <w:rFonts w:hint="eastAsia" w:ascii="仿宋" w:hAnsi="仿宋" w:eastAsia="仿宋" w:cs="仿宋"/>
          <w:bCs/>
          <w:szCs w:val="28"/>
          <w:lang w:bidi="ar"/>
        </w:rPr>
        <w:t>附件</w:t>
      </w:r>
    </w:p>
    <w:p>
      <w:pPr>
        <w:adjustRightInd w:val="0"/>
        <w:snapToGrid w:val="0"/>
        <w:spacing w:line="312" w:lineRule="auto"/>
        <w:ind w:firstLine="422" w:firstLineChars="200"/>
        <w:rPr>
          <w:rFonts w:hint="eastAsia" w:ascii="仿宋" w:hAnsi="仿宋" w:eastAsia="仿宋" w:cs="仿宋"/>
          <w:b/>
          <w:szCs w:val="28"/>
        </w:rPr>
      </w:pPr>
      <w:r>
        <w:rPr>
          <w:rFonts w:hint="eastAsia" w:ascii="仿宋" w:hAnsi="仿宋" w:eastAsia="仿宋" w:cs="仿宋"/>
          <w:b/>
          <w:szCs w:val="28"/>
          <w:lang w:bidi="ar"/>
        </w:rPr>
        <w:t>房地产贷款集中度管理要求</w:t>
      </w:r>
    </w:p>
    <w:p>
      <w:pPr>
        <w:adjustRightInd w:val="0"/>
        <w:snapToGrid w:val="0"/>
        <w:spacing w:line="312" w:lineRule="auto"/>
        <w:ind w:firstLine="420" w:firstLineChars="200"/>
        <w:rPr>
          <w:rFonts w:hint="eastAsia" w:ascii="仿宋" w:hAnsi="仿宋" w:eastAsia="仿宋" w:cs="仿宋"/>
          <w:bCs/>
          <w:szCs w:val="28"/>
        </w:rPr>
      </w:pPr>
    </w:p>
    <w:tbl>
      <w:tblPr>
        <w:tblStyle w:val="27"/>
        <w:tblW w:w="0" w:type="auto"/>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5086"/>
        <w:gridCol w:w="1695"/>
        <w:gridCol w:w="175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jc w:val="center"/>
        </w:trPr>
        <w:tc>
          <w:tcPr>
            <w:tcW w:w="5086" w:type="dxa"/>
            <w:tcBorders>
              <w:top w:val="single" w:color="auto" w:sz="12" w:space="0"/>
              <w:left w:val="single" w:color="auto" w:sz="12" w:space="0"/>
              <w:bottom w:val="single" w:color="auto" w:sz="6" w:space="0"/>
              <w:right w:val="single" w:color="auto" w:sz="6" w:space="0"/>
            </w:tcBorders>
            <w:shd w:val="clear" w:color="auto" w:fill="auto"/>
            <w:vAlign w:val="center"/>
          </w:tcPr>
          <w:p>
            <w:pPr>
              <w:widowControl/>
              <w:autoSpaceDN w:val="0"/>
              <w:adjustRightInd w:val="0"/>
              <w:snapToGrid w:val="0"/>
              <w:spacing w:after="160" w:line="312" w:lineRule="auto"/>
              <w:ind w:firstLine="422" w:firstLineChars="200"/>
              <w:rPr>
                <w:rFonts w:hint="eastAsia" w:ascii="仿宋" w:hAnsi="仿宋" w:eastAsia="仿宋" w:cs="仿宋"/>
                <w:kern w:val="0"/>
                <w:szCs w:val="24"/>
              </w:rPr>
            </w:pPr>
            <w:r>
              <w:rPr>
                <w:rFonts w:hint="eastAsia" w:ascii="仿宋" w:hAnsi="仿宋" w:eastAsia="仿宋" w:cs="仿宋"/>
                <w:b/>
                <w:kern w:val="0"/>
                <w:szCs w:val="24"/>
                <w:lang w:bidi="ar"/>
              </w:rPr>
              <w:t>银行业金融机构分档类型</w:t>
            </w:r>
          </w:p>
        </w:tc>
        <w:tc>
          <w:tcPr>
            <w:tcW w:w="1695" w:type="dxa"/>
            <w:tcBorders>
              <w:top w:val="single" w:color="auto" w:sz="12" w:space="0"/>
              <w:left w:val="single" w:color="auto" w:sz="6" w:space="0"/>
              <w:bottom w:val="single" w:color="auto" w:sz="6" w:space="0"/>
              <w:right w:val="single" w:color="auto" w:sz="6" w:space="0"/>
            </w:tcBorders>
            <w:shd w:val="clear" w:color="auto" w:fill="auto"/>
            <w:vAlign w:val="center"/>
          </w:tcPr>
          <w:p>
            <w:pPr>
              <w:widowControl/>
              <w:autoSpaceDN w:val="0"/>
              <w:adjustRightInd w:val="0"/>
              <w:snapToGrid w:val="0"/>
              <w:spacing w:after="160" w:line="312" w:lineRule="auto"/>
              <w:ind w:firstLine="422" w:firstLineChars="200"/>
              <w:rPr>
                <w:rFonts w:hint="eastAsia" w:ascii="仿宋" w:hAnsi="仿宋" w:eastAsia="仿宋" w:cs="仿宋"/>
                <w:b/>
                <w:kern w:val="0"/>
                <w:szCs w:val="24"/>
              </w:rPr>
            </w:pPr>
            <w:r>
              <w:rPr>
                <w:rFonts w:hint="eastAsia" w:ascii="仿宋" w:hAnsi="仿宋" w:eastAsia="仿宋" w:cs="仿宋"/>
                <w:b/>
                <w:kern w:val="0"/>
                <w:szCs w:val="24"/>
                <w:lang w:bidi="ar"/>
              </w:rPr>
              <w:t>房地产贷款</w:t>
            </w:r>
          </w:p>
          <w:p>
            <w:pPr>
              <w:widowControl/>
              <w:autoSpaceDN w:val="0"/>
              <w:adjustRightInd w:val="0"/>
              <w:snapToGrid w:val="0"/>
              <w:spacing w:after="160" w:line="312" w:lineRule="auto"/>
              <w:ind w:firstLine="422" w:firstLineChars="200"/>
              <w:rPr>
                <w:rFonts w:hint="eastAsia" w:ascii="仿宋" w:hAnsi="仿宋" w:eastAsia="仿宋" w:cs="仿宋"/>
                <w:b/>
                <w:kern w:val="0"/>
                <w:szCs w:val="24"/>
              </w:rPr>
            </w:pPr>
            <w:r>
              <w:rPr>
                <w:rFonts w:hint="eastAsia" w:ascii="仿宋" w:hAnsi="仿宋" w:eastAsia="仿宋" w:cs="仿宋"/>
                <w:b/>
                <w:kern w:val="0"/>
                <w:szCs w:val="24"/>
                <w:lang w:bidi="ar"/>
              </w:rPr>
              <w:t>占比上限</w:t>
            </w:r>
          </w:p>
        </w:tc>
        <w:tc>
          <w:tcPr>
            <w:tcW w:w="1755" w:type="dxa"/>
            <w:tcBorders>
              <w:top w:val="single" w:color="auto" w:sz="12" w:space="0"/>
              <w:left w:val="single" w:color="auto" w:sz="6" w:space="0"/>
              <w:bottom w:val="single" w:color="auto" w:sz="6" w:space="0"/>
              <w:right w:val="single" w:color="auto" w:sz="12" w:space="0"/>
            </w:tcBorders>
            <w:shd w:val="clear" w:color="auto" w:fill="auto"/>
            <w:vAlign w:val="center"/>
          </w:tcPr>
          <w:p>
            <w:pPr>
              <w:widowControl/>
              <w:autoSpaceDN w:val="0"/>
              <w:adjustRightInd w:val="0"/>
              <w:snapToGrid w:val="0"/>
              <w:spacing w:after="160" w:line="312" w:lineRule="auto"/>
              <w:ind w:firstLine="422" w:firstLineChars="200"/>
              <w:rPr>
                <w:rFonts w:hint="eastAsia" w:ascii="仿宋" w:hAnsi="仿宋" w:eastAsia="仿宋" w:cs="仿宋"/>
                <w:b/>
                <w:kern w:val="0"/>
                <w:szCs w:val="24"/>
              </w:rPr>
            </w:pPr>
            <w:r>
              <w:rPr>
                <w:rFonts w:hint="eastAsia" w:ascii="仿宋" w:hAnsi="仿宋" w:eastAsia="仿宋" w:cs="仿宋"/>
                <w:b/>
                <w:kern w:val="0"/>
                <w:szCs w:val="24"/>
                <w:lang w:bidi="ar"/>
              </w:rPr>
              <w:t>个人住房贷款</w:t>
            </w:r>
          </w:p>
          <w:p>
            <w:pPr>
              <w:widowControl/>
              <w:autoSpaceDN w:val="0"/>
              <w:adjustRightInd w:val="0"/>
              <w:snapToGrid w:val="0"/>
              <w:spacing w:after="160" w:line="312" w:lineRule="auto"/>
              <w:ind w:firstLine="422" w:firstLineChars="200"/>
              <w:rPr>
                <w:rFonts w:hint="eastAsia" w:ascii="仿宋" w:hAnsi="仿宋" w:eastAsia="仿宋" w:cs="仿宋"/>
                <w:b/>
                <w:kern w:val="0"/>
                <w:szCs w:val="24"/>
              </w:rPr>
            </w:pPr>
            <w:r>
              <w:rPr>
                <w:rFonts w:hint="eastAsia" w:ascii="仿宋" w:hAnsi="仿宋" w:eastAsia="仿宋" w:cs="仿宋"/>
                <w:b/>
                <w:kern w:val="0"/>
                <w:szCs w:val="24"/>
                <w:lang w:bidi="ar"/>
              </w:rPr>
              <w:t>占比上限</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498" w:hRule="atLeast"/>
          <w:jc w:val="center"/>
        </w:trPr>
        <w:tc>
          <w:tcPr>
            <w:tcW w:w="8536" w:type="dxa"/>
            <w:gridSpan w:val="3"/>
            <w:tcBorders>
              <w:top w:val="single" w:color="auto" w:sz="6" w:space="0"/>
              <w:left w:val="single" w:color="auto" w:sz="12" w:space="0"/>
              <w:bottom w:val="single" w:color="auto" w:sz="6" w:space="0"/>
              <w:right w:val="single" w:color="auto" w:sz="12" w:space="0"/>
            </w:tcBorders>
            <w:shd w:val="clear" w:color="auto" w:fill="auto"/>
            <w:vAlign w:val="center"/>
          </w:tcPr>
          <w:p>
            <w:pPr>
              <w:widowControl/>
              <w:autoSpaceDN w:val="0"/>
              <w:adjustRightInd w:val="0"/>
              <w:snapToGrid w:val="0"/>
              <w:spacing w:after="160" w:line="312" w:lineRule="auto"/>
              <w:ind w:firstLine="422" w:firstLineChars="200"/>
              <w:rPr>
                <w:rFonts w:hint="eastAsia" w:ascii="仿宋" w:hAnsi="仿宋" w:eastAsia="仿宋" w:cs="仿宋"/>
                <w:b/>
                <w:kern w:val="0"/>
                <w:szCs w:val="24"/>
              </w:rPr>
            </w:pPr>
            <w:r>
              <w:rPr>
                <w:rFonts w:hint="eastAsia" w:ascii="仿宋" w:hAnsi="仿宋" w:eastAsia="仿宋" w:cs="仿宋"/>
                <w:b/>
                <w:kern w:val="0"/>
                <w:szCs w:val="24"/>
                <w:lang w:bidi="ar"/>
              </w:rPr>
              <w:t>第一档：中资大型银行</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1551" w:hRule="atLeast"/>
          <w:jc w:val="center"/>
        </w:trPr>
        <w:tc>
          <w:tcPr>
            <w:tcW w:w="5086" w:type="dxa"/>
            <w:tcBorders>
              <w:top w:val="single" w:color="auto" w:sz="6" w:space="0"/>
              <w:left w:val="single" w:color="auto" w:sz="12" w:space="0"/>
              <w:bottom w:val="single" w:color="auto" w:sz="6" w:space="0"/>
              <w:right w:val="single" w:color="auto" w:sz="6" w:space="0"/>
            </w:tcBorders>
            <w:shd w:val="clear" w:color="auto" w:fill="auto"/>
            <w:vAlign w:val="center"/>
          </w:tcPr>
          <w:p>
            <w:pPr>
              <w:widowControl/>
              <w:autoSpaceDN w:val="0"/>
              <w:adjustRightInd w:val="0"/>
              <w:snapToGrid w:val="0"/>
              <w:spacing w:after="160"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lang w:bidi="ar"/>
              </w:rPr>
              <w:t>中国工商银行、中国建设银行、中国农业银行、中国银行、国家开发银行、交通银行、中国邮政储蓄银行</w:t>
            </w:r>
          </w:p>
        </w:tc>
        <w:tc>
          <w:tcPr>
            <w:tcW w:w="1695" w:type="dxa"/>
            <w:tcBorders>
              <w:top w:val="single" w:color="auto" w:sz="6" w:space="0"/>
              <w:left w:val="single" w:color="auto" w:sz="6" w:space="0"/>
              <w:bottom w:val="single" w:color="auto" w:sz="6" w:space="0"/>
              <w:right w:val="single" w:color="auto" w:sz="6" w:space="0"/>
            </w:tcBorders>
            <w:shd w:val="clear" w:color="auto" w:fill="auto"/>
            <w:vAlign w:val="center"/>
          </w:tcPr>
          <w:p>
            <w:pPr>
              <w:widowControl/>
              <w:autoSpaceDN w:val="0"/>
              <w:adjustRightInd w:val="0"/>
              <w:snapToGrid w:val="0"/>
              <w:spacing w:after="160"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lang w:bidi="ar"/>
              </w:rPr>
              <w:t>40%</w:t>
            </w:r>
          </w:p>
        </w:tc>
        <w:tc>
          <w:tcPr>
            <w:tcW w:w="1755" w:type="dxa"/>
            <w:tcBorders>
              <w:top w:val="single" w:color="auto" w:sz="6" w:space="0"/>
              <w:left w:val="single" w:color="auto" w:sz="6" w:space="0"/>
              <w:bottom w:val="single" w:color="auto" w:sz="6" w:space="0"/>
              <w:right w:val="single" w:color="auto" w:sz="12" w:space="0"/>
            </w:tcBorders>
            <w:shd w:val="clear" w:color="auto" w:fill="auto"/>
            <w:vAlign w:val="center"/>
          </w:tcPr>
          <w:p>
            <w:pPr>
              <w:widowControl/>
              <w:autoSpaceDN w:val="0"/>
              <w:adjustRightInd w:val="0"/>
              <w:snapToGrid w:val="0"/>
              <w:spacing w:after="160"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lang w:bidi="ar"/>
              </w:rPr>
              <w:t>32.5%</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jc w:val="center"/>
        </w:trPr>
        <w:tc>
          <w:tcPr>
            <w:tcW w:w="8536" w:type="dxa"/>
            <w:gridSpan w:val="3"/>
            <w:tcBorders>
              <w:top w:val="single" w:color="auto" w:sz="6" w:space="0"/>
              <w:left w:val="single" w:color="auto" w:sz="12" w:space="0"/>
              <w:bottom w:val="single" w:color="auto" w:sz="6" w:space="0"/>
              <w:right w:val="single" w:color="auto" w:sz="12" w:space="0"/>
            </w:tcBorders>
            <w:shd w:val="clear" w:color="auto" w:fill="auto"/>
            <w:vAlign w:val="center"/>
          </w:tcPr>
          <w:p>
            <w:pPr>
              <w:widowControl/>
              <w:autoSpaceDN w:val="0"/>
              <w:adjustRightInd w:val="0"/>
              <w:snapToGrid w:val="0"/>
              <w:spacing w:after="160" w:line="312" w:lineRule="auto"/>
              <w:ind w:firstLine="422" w:firstLineChars="200"/>
              <w:rPr>
                <w:rFonts w:hint="eastAsia" w:ascii="仿宋" w:hAnsi="仿宋" w:eastAsia="仿宋" w:cs="仿宋"/>
                <w:kern w:val="0"/>
                <w:szCs w:val="24"/>
              </w:rPr>
            </w:pPr>
            <w:r>
              <w:rPr>
                <w:rFonts w:hint="eastAsia" w:ascii="仿宋" w:hAnsi="仿宋" w:eastAsia="仿宋" w:cs="仿宋"/>
                <w:b/>
                <w:kern w:val="0"/>
                <w:szCs w:val="24"/>
                <w:lang w:bidi="ar"/>
              </w:rPr>
              <w:t>第二档：中资中型银行</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2247" w:hRule="atLeast"/>
          <w:jc w:val="center"/>
        </w:trPr>
        <w:tc>
          <w:tcPr>
            <w:tcW w:w="5086" w:type="dxa"/>
            <w:tcBorders>
              <w:top w:val="single" w:color="auto" w:sz="6" w:space="0"/>
              <w:left w:val="single" w:color="auto" w:sz="12" w:space="0"/>
              <w:bottom w:val="single" w:color="auto" w:sz="6" w:space="0"/>
              <w:right w:val="single" w:color="auto" w:sz="6" w:space="0"/>
            </w:tcBorders>
            <w:shd w:val="clear" w:color="auto" w:fill="auto"/>
            <w:vAlign w:val="center"/>
          </w:tcPr>
          <w:p>
            <w:pPr>
              <w:widowControl/>
              <w:autoSpaceDN w:val="0"/>
              <w:adjustRightInd w:val="0"/>
              <w:snapToGrid w:val="0"/>
              <w:spacing w:after="160"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lang w:bidi="ar"/>
              </w:rPr>
              <w:t>招商银行、农业发展银行、浦发银行、中信银行、兴业银行、中国民生银行、中国光大银行、华夏银行、进出口银行、广发银行、平安银行、北京银行、上海银行、江苏银行、恒丰银行、浙商银行、渤海银行</w:t>
            </w:r>
          </w:p>
        </w:tc>
        <w:tc>
          <w:tcPr>
            <w:tcW w:w="1695" w:type="dxa"/>
            <w:tcBorders>
              <w:top w:val="single" w:color="auto" w:sz="6" w:space="0"/>
              <w:left w:val="single" w:color="auto" w:sz="6" w:space="0"/>
              <w:bottom w:val="single" w:color="auto" w:sz="6" w:space="0"/>
              <w:right w:val="single" w:color="auto" w:sz="6" w:space="0"/>
            </w:tcBorders>
            <w:shd w:val="clear" w:color="auto" w:fill="auto"/>
            <w:vAlign w:val="center"/>
          </w:tcPr>
          <w:p>
            <w:pPr>
              <w:widowControl/>
              <w:autoSpaceDN w:val="0"/>
              <w:adjustRightInd w:val="0"/>
              <w:snapToGrid w:val="0"/>
              <w:spacing w:after="160"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lang w:bidi="ar"/>
              </w:rPr>
              <w:t>27.5%</w:t>
            </w:r>
          </w:p>
        </w:tc>
        <w:tc>
          <w:tcPr>
            <w:tcW w:w="1755" w:type="dxa"/>
            <w:tcBorders>
              <w:top w:val="single" w:color="auto" w:sz="6" w:space="0"/>
              <w:left w:val="single" w:color="auto" w:sz="6" w:space="0"/>
              <w:bottom w:val="single" w:color="auto" w:sz="6" w:space="0"/>
              <w:right w:val="single" w:color="auto" w:sz="12" w:space="0"/>
            </w:tcBorders>
            <w:shd w:val="clear" w:color="auto" w:fill="auto"/>
            <w:vAlign w:val="center"/>
          </w:tcPr>
          <w:p>
            <w:pPr>
              <w:widowControl/>
              <w:autoSpaceDN w:val="0"/>
              <w:adjustRightInd w:val="0"/>
              <w:snapToGrid w:val="0"/>
              <w:spacing w:after="160"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lang w:bidi="ar"/>
              </w:rPr>
              <w:t>20%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jc w:val="center"/>
        </w:trPr>
        <w:tc>
          <w:tcPr>
            <w:tcW w:w="8536" w:type="dxa"/>
            <w:gridSpan w:val="3"/>
            <w:tcBorders>
              <w:top w:val="single" w:color="auto" w:sz="6" w:space="0"/>
              <w:left w:val="single" w:color="auto" w:sz="12" w:space="0"/>
              <w:bottom w:val="single" w:color="auto" w:sz="6" w:space="0"/>
              <w:right w:val="single" w:color="auto" w:sz="12" w:space="0"/>
            </w:tcBorders>
            <w:shd w:val="clear" w:color="auto" w:fill="auto"/>
            <w:vAlign w:val="center"/>
          </w:tcPr>
          <w:p>
            <w:pPr>
              <w:widowControl/>
              <w:autoSpaceDN w:val="0"/>
              <w:adjustRightInd w:val="0"/>
              <w:snapToGrid w:val="0"/>
              <w:spacing w:after="160" w:line="312" w:lineRule="auto"/>
              <w:ind w:firstLine="422" w:firstLineChars="200"/>
              <w:rPr>
                <w:rFonts w:hint="eastAsia" w:ascii="仿宋" w:hAnsi="仿宋" w:eastAsia="仿宋" w:cs="仿宋"/>
                <w:kern w:val="0"/>
                <w:szCs w:val="24"/>
                <w:vertAlign w:val="superscript"/>
              </w:rPr>
            </w:pPr>
            <w:r>
              <w:rPr>
                <w:rFonts w:hint="eastAsia" w:ascii="仿宋" w:hAnsi="仿宋" w:eastAsia="仿宋" w:cs="仿宋"/>
                <w:b/>
                <w:kern w:val="0"/>
                <w:szCs w:val="24"/>
                <w:lang w:bidi="ar"/>
              </w:rPr>
              <w:t>第三档：中资小型银行和非县域农合机构</w:t>
            </w:r>
            <w:r>
              <w:rPr>
                <w:rFonts w:hint="eastAsia" w:ascii="仿宋" w:hAnsi="仿宋" w:eastAsia="仿宋" w:cs="仿宋"/>
                <w:b/>
                <w:kern w:val="0"/>
                <w:szCs w:val="24"/>
                <w:vertAlign w:val="superscript"/>
                <w:lang w:bidi="ar"/>
              </w:rPr>
              <w:t>1</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393" w:hRule="atLeast"/>
          <w:jc w:val="center"/>
        </w:trPr>
        <w:tc>
          <w:tcPr>
            <w:tcW w:w="5086" w:type="dxa"/>
            <w:tcBorders>
              <w:top w:val="single" w:color="auto" w:sz="6" w:space="0"/>
              <w:left w:val="single" w:color="auto" w:sz="12" w:space="0"/>
              <w:bottom w:val="single" w:color="auto" w:sz="6" w:space="0"/>
              <w:right w:val="single" w:color="auto" w:sz="6" w:space="0"/>
            </w:tcBorders>
            <w:shd w:val="clear" w:color="auto" w:fill="auto"/>
            <w:vAlign w:val="center"/>
          </w:tcPr>
          <w:p>
            <w:pPr>
              <w:widowControl/>
              <w:autoSpaceDN w:val="0"/>
              <w:adjustRightInd w:val="0"/>
              <w:snapToGrid w:val="0"/>
              <w:spacing w:after="160"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lang w:bidi="ar"/>
              </w:rPr>
              <w:t>城市商业银行</w:t>
            </w:r>
            <w:r>
              <w:rPr>
                <w:rFonts w:hint="eastAsia" w:ascii="仿宋" w:hAnsi="仿宋" w:eastAsia="仿宋" w:cs="仿宋"/>
                <w:kern w:val="0"/>
                <w:szCs w:val="24"/>
                <w:vertAlign w:val="superscript"/>
                <w:lang w:bidi="ar"/>
              </w:rPr>
              <w:t>2</w:t>
            </w:r>
            <w:r>
              <w:rPr>
                <w:rFonts w:hint="eastAsia" w:ascii="仿宋" w:hAnsi="仿宋" w:eastAsia="仿宋" w:cs="仿宋"/>
                <w:kern w:val="0"/>
                <w:szCs w:val="24"/>
                <w:lang w:bidi="ar"/>
              </w:rPr>
              <w:t>、民营银行</w:t>
            </w:r>
          </w:p>
        </w:tc>
        <w:tc>
          <w:tcPr>
            <w:tcW w:w="1695" w:type="dxa"/>
            <w:vMerge w:val="restart"/>
            <w:tcBorders>
              <w:top w:val="single" w:color="auto" w:sz="6" w:space="0"/>
              <w:left w:val="single" w:color="auto" w:sz="6" w:space="0"/>
              <w:bottom w:val="single" w:color="auto" w:sz="6" w:space="0"/>
              <w:right w:val="single" w:color="auto" w:sz="6" w:space="0"/>
            </w:tcBorders>
            <w:shd w:val="clear" w:color="auto" w:fill="auto"/>
            <w:vAlign w:val="center"/>
          </w:tcPr>
          <w:p>
            <w:pPr>
              <w:widowControl/>
              <w:autoSpaceDN w:val="0"/>
              <w:adjustRightInd w:val="0"/>
              <w:snapToGrid w:val="0"/>
              <w:spacing w:after="160" w:line="312" w:lineRule="auto"/>
              <w:ind w:firstLine="420" w:firstLineChars="200"/>
              <w:rPr>
                <w:rFonts w:hint="eastAsia" w:ascii="仿宋" w:hAnsi="仿宋" w:eastAsia="仿宋" w:cs="仿宋"/>
              </w:rPr>
            </w:pPr>
            <w:r>
              <w:rPr>
                <w:rFonts w:hint="eastAsia" w:ascii="仿宋" w:hAnsi="仿宋" w:eastAsia="仿宋" w:cs="仿宋"/>
                <w:kern w:val="0"/>
                <w:szCs w:val="24"/>
                <w:lang w:bidi="ar"/>
              </w:rPr>
              <w:t>22.5%</w:t>
            </w:r>
          </w:p>
        </w:tc>
        <w:tc>
          <w:tcPr>
            <w:tcW w:w="1755" w:type="dxa"/>
            <w:vMerge w:val="restart"/>
            <w:tcBorders>
              <w:top w:val="single" w:color="auto" w:sz="6" w:space="0"/>
              <w:left w:val="single" w:color="auto" w:sz="6" w:space="0"/>
              <w:bottom w:val="single" w:color="auto" w:sz="6" w:space="0"/>
              <w:right w:val="single" w:color="auto" w:sz="12" w:space="0"/>
            </w:tcBorders>
            <w:shd w:val="clear" w:color="auto" w:fill="auto"/>
            <w:vAlign w:val="center"/>
          </w:tcPr>
          <w:p>
            <w:pPr>
              <w:widowControl/>
              <w:autoSpaceDN w:val="0"/>
              <w:adjustRightInd w:val="0"/>
              <w:snapToGrid w:val="0"/>
              <w:spacing w:after="160"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lang w:bidi="ar"/>
              </w:rPr>
              <w:t>17.5%</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450" w:hRule="atLeast"/>
          <w:jc w:val="center"/>
        </w:trPr>
        <w:tc>
          <w:tcPr>
            <w:tcW w:w="5086" w:type="dxa"/>
            <w:tcBorders>
              <w:top w:val="single" w:color="auto" w:sz="6" w:space="0"/>
              <w:left w:val="single" w:color="auto" w:sz="12" w:space="0"/>
              <w:bottom w:val="single" w:color="auto" w:sz="6" w:space="0"/>
              <w:right w:val="single" w:color="auto" w:sz="6" w:space="0"/>
            </w:tcBorders>
            <w:shd w:val="clear" w:color="auto" w:fill="auto"/>
            <w:vAlign w:val="center"/>
          </w:tcPr>
          <w:p>
            <w:pPr>
              <w:widowControl/>
              <w:autoSpaceDN w:val="0"/>
              <w:adjustRightInd w:val="0"/>
              <w:snapToGrid w:val="0"/>
              <w:spacing w:after="160"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lang w:bidi="ar"/>
              </w:rPr>
              <w:t>大中城市和城区农合机构</w:t>
            </w:r>
          </w:p>
        </w:tc>
        <w:tc>
          <w:tcPr>
            <w:tcW w:w="1695" w:type="dxa"/>
            <w:vMerge w:val="continue"/>
            <w:tcBorders>
              <w:top w:val="single" w:color="auto" w:sz="6" w:space="0"/>
              <w:left w:val="single" w:color="auto" w:sz="6" w:space="0"/>
              <w:bottom w:val="single" w:color="auto" w:sz="6" w:space="0"/>
              <w:right w:val="single" w:color="auto" w:sz="6" w:space="0"/>
            </w:tcBorders>
            <w:shd w:val="clear" w:color="auto" w:fill="auto"/>
            <w:vAlign w:val="center"/>
          </w:tcPr>
          <w:p>
            <w:pPr>
              <w:spacing w:after="160" w:line="276" w:lineRule="auto"/>
              <w:ind w:firstLine="402"/>
              <w:rPr>
                <w:rFonts w:hint="eastAsia" w:ascii="仿宋" w:hAnsi="仿宋" w:eastAsia="仿宋" w:cs="仿宋"/>
                <w:sz w:val="20"/>
                <w:szCs w:val="20"/>
              </w:rPr>
            </w:pPr>
          </w:p>
        </w:tc>
        <w:tc>
          <w:tcPr>
            <w:tcW w:w="1755" w:type="dxa"/>
            <w:vMerge w:val="continue"/>
            <w:tcBorders>
              <w:top w:val="single" w:color="auto" w:sz="6" w:space="0"/>
              <w:left w:val="single" w:color="auto" w:sz="6" w:space="0"/>
              <w:bottom w:val="single" w:color="auto" w:sz="6" w:space="0"/>
              <w:right w:val="single" w:color="auto" w:sz="12" w:space="0"/>
            </w:tcBorders>
            <w:shd w:val="clear" w:color="auto" w:fill="auto"/>
            <w:vAlign w:val="center"/>
          </w:tcPr>
          <w:p>
            <w:pPr>
              <w:spacing w:after="160" w:line="276" w:lineRule="auto"/>
              <w:ind w:firstLine="402"/>
              <w:rPr>
                <w:rFonts w:hint="eastAsia" w:ascii="仿宋" w:hAnsi="仿宋" w:eastAsia="仿宋" w:cs="仿宋"/>
                <w:sz w:val="20"/>
                <w:szCs w:val="20"/>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cantSplit/>
          <w:jc w:val="center"/>
        </w:trPr>
        <w:tc>
          <w:tcPr>
            <w:tcW w:w="8536" w:type="dxa"/>
            <w:gridSpan w:val="3"/>
            <w:tcBorders>
              <w:top w:val="single" w:color="auto" w:sz="6" w:space="0"/>
              <w:left w:val="single" w:color="auto" w:sz="12" w:space="0"/>
              <w:bottom w:val="single" w:color="auto" w:sz="6" w:space="0"/>
              <w:right w:val="single" w:color="auto" w:sz="12" w:space="0"/>
            </w:tcBorders>
            <w:shd w:val="clear" w:color="auto" w:fill="auto"/>
            <w:vAlign w:val="center"/>
          </w:tcPr>
          <w:p>
            <w:pPr>
              <w:widowControl/>
              <w:autoSpaceDN w:val="0"/>
              <w:adjustRightInd w:val="0"/>
              <w:snapToGrid w:val="0"/>
              <w:spacing w:after="160" w:line="312" w:lineRule="auto"/>
              <w:ind w:firstLine="422" w:firstLineChars="200"/>
              <w:rPr>
                <w:rFonts w:hint="eastAsia" w:ascii="仿宋" w:hAnsi="仿宋" w:eastAsia="仿宋" w:cs="仿宋"/>
                <w:kern w:val="0"/>
                <w:szCs w:val="24"/>
              </w:rPr>
            </w:pPr>
            <w:r>
              <w:rPr>
                <w:rFonts w:hint="eastAsia" w:ascii="仿宋" w:hAnsi="仿宋" w:eastAsia="仿宋" w:cs="仿宋"/>
                <w:b/>
                <w:kern w:val="0"/>
                <w:szCs w:val="24"/>
                <w:lang w:bidi="ar"/>
              </w:rPr>
              <w:t>第四档：县域农合机构</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jc w:val="center"/>
        </w:trPr>
        <w:tc>
          <w:tcPr>
            <w:tcW w:w="5086" w:type="dxa"/>
            <w:tcBorders>
              <w:top w:val="single" w:color="auto" w:sz="6" w:space="0"/>
              <w:left w:val="single" w:color="auto" w:sz="12" w:space="0"/>
              <w:bottom w:val="single" w:color="auto" w:sz="6" w:space="0"/>
              <w:right w:val="single" w:color="auto" w:sz="6" w:space="0"/>
            </w:tcBorders>
            <w:shd w:val="clear" w:color="auto" w:fill="auto"/>
            <w:vAlign w:val="center"/>
          </w:tcPr>
          <w:p>
            <w:pPr>
              <w:widowControl/>
              <w:autoSpaceDN w:val="0"/>
              <w:adjustRightInd w:val="0"/>
              <w:snapToGrid w:val="0"/>
              <w:spacing w:after="160"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lang w:bidi="ar"/>
              </w:rPr>
              <w:t>县域农合机构</w:t>
            </w:r>
          </w:p>
        </w:tc>
        <w:tc>
          <w:tcPr>
            <w:tcW w:w="1695" w:type="dxa"/>
            <w:tcBorders>
              <w:top w:val="single" w:color="auto" w:sz="6" w:space="0"/>
              <w:left w:val="single" w:color="auto" w:sz="6" w:space="0"/>
              <w:bottom w:val="single" w:color="auto" w:sz="6" w:space="0"/>
              <w:right w:val="single" w:color="auto" w:sz="6" w:space="0"/>
            </w:tcBorders>
            <w:shd w:val="clear" w:color="auto" w:fill="auto"/>
            <w:vAlign w:val="center"/>
          </w:tcPr>
          <w:p>
            <w:pPr>
              <w:widowControl/>
              <w:autoSpaceDN w:val="0"/>
              <w:adjustRightInd w:val="0"/>
              <w:snapToGrid w:val="0"/>
              <w:spacing w:after="160" w:line="312" w:lineRule="auto"/>
              <w:ind w:firstLine="420" w:firstLineChars="200"/>
              <w:rPr>
                <w:rFonts w:hint="eastAsia" w:ascii="仿宋" w:hAnsi="仿宋" w:eastAsia="仿宋" w:cs="仿宋"/>
              </w:rPr>
            </w:pPr>
            <w:r>
              <w:rPr>
                <w:rFonts w:hint="eastAsia" w:ascii="仿宋" w:hAnsi="仿宋" w:eastAsia="仿宋" w:cs="仿宋"/>
                <w:kern w:val="0"/>
                <w:szCs w:val="24"/>
                <w:lang w:bidi="ar"/>
              </w:rPr>
              <w:t>17.5%</w:t>
            </w:r>
          </w:p>
        </w:tc>
        <w:tc>
          <w:tcPr>
            <w:tcW w:w="1755" w:type="dxa"/>
            <w:tcBorders>
              <w:top w:val="single" w:color="auto" w:sz="6" w:space="0"/>
              <w:left w:val="single" w:color="auto" w:sz="6" w:space="0"/>
              <w:bottom w:val="single" w:color="auto" w:sz="6" w:space="0"/>
              <w:right w:val="single" w:color="auto" w:sz="12" w:space="0"/>
            </w:tcBorders>
            <w:shd w:val="clear" w:color="auto" w:fill="auto"/>
            <w:vAlign w:val="center"/>
          </w:tcPr>
          <w:p>
            <w:pPr>
              <w:widowControl/>
              <w:autoSpaceDN w:val="0"/>
              <w:adjustRightInd w:val="0"/>
              <w:snapToGrid w:val="0"/>
              <w:spacing w:after="160"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lang w:bidi="ar"/>
              </w:rPr>
              <w:t>12.5%</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jc w:val="center"/>
        </w:trPr>
        <w:tc>
          <w:tcPr>
            <w:tcW w:w="8536" w:type="dxa"/>
            <w:gridSpan w:val="3"/>
            <w:tcBorders>
              <w:top w:val="single" w:color="auto" w:sz="6" w:space="0"/>
              <w:left w:val="single" w:color="auto" w:sz="12" w:space="0"/>
              <w:bottom w:val="single" w:color="auto" w:sz="6" w:space="0"/>
              <w:right w:val="single" w:color="auto" w:sz="12" w:space="0"/>
            </w:tcBorders>
            <w:shd w:val="clear" w:color="auto" w:fill="auto"/>
            <w:vAlign w:val="center"/>
          </w:tcPr>
          <w:p>
            <w:pPr>
              <w:widowControl/>
              <w:autoSpaceDN w:val="0"/>
              <w:adjustRightInd w:val="0"/>
              <w:snapToGrid w:val="0"/>
              <w:spacing w:after="160" w:line="312" w:lineRule="auto"/>
              <w:ind w:firstLine="422" w:firstLineChars="200"/>
              <w:rPr>
                <w:rFonts w:hint="eastAsia" w:ascii="仿宋" w:hAnsi="仿宋" w:eastAsia="仿宋" w:cs="仿宋"/>
                <w:kern w:val="0"/>
                <w:szCs w:val="24"/>
              </w:rPr>
            </w:pPr>
            <w:r>
              <w:rPr>
                <w:rFonts w:hint="eastAsia" w:ascii="仿宋" w:hAnsi="仿宋" w:eastAsia="仿宋" w:cs="仿宋"/>
                <w:b/>
                <w:kern w:val="0"/>
                <w:szCs w:val="24"/>
                <w:lang w:bidi="ar"/>
              </w:rPr>
              <w:t>第五档：村镇银行</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jc w:val="center"/>
        </w:trPr>
        <w:tc>
          <w:tcPr>
            <w:tcW w:w="5086" w:type="dxa"/>
            <w:tcBorders>
              <w:top w:val="single" w:color="auto" w:sz="6" w:space="0"/>
              <w:left w:val="single" w:color="auto" w:sz="12" w:space="0"/>
              <w:bottom w:val="single" w:color="auto" w:sz="6" w:space="0"/>
              <w:right w:val="single" w:color="auto" w:sz="6" w:space="0"/>
            </w:tcBorders>
            <w:shd w:val="clear" w:color="auto" w:fill="auto"/>
            <w:vAlign w:val="center"/>
          </w:tcPr>
          <w:p>
            <w:pPr>
              <w:widowControl/>
              <w:autoSpaceDN w:val="0"/>
              <w:adjustRightInd w:val="0"/>
              <w:snapToGrid w:val="0"/>
              <w:spacing w:after="160" w:line="312" w:lineRule="auto"/>
              <w:ind w:firstLine="420" w:firstLineChars="200"/>
              <w:rPr>
                <w:rFonts w:hint="eastAsia" w:ascii="仿宋" w:hAnsi="仿宋" w:eastAsia="仿宋" w:cs="仿宋"/>
                <w:b/>
                <w:kern w:val="0"/>
                <w:szCs w:val="24"/>
              </w:rPr>
            </w:pPr>
            <w:r>
              <w:rPr>
                <w:rFonts w:hint="eastAsia" w:ascii="仿宋" w:hAnsi="仿宋" w:eastAsia="仿宋" w:cs="仿宋"/>
                <w:kern w:val="0"/>
                <w:szCs w:val="24"/>
                <w:lang w:bidi="ar"/>
              </w:rPr>
              <w:t>村镇银行</w:t>
            </w:r>
          </w:p>
        </w:tc>
        <w:tc>
          <w:tcPr>
            <w:tcW w:w="1695" w:type="dxa"/>
            <w:tcBorders>
              <w:top w:val="single" w:color="auto" w:sz="6" w:space="0"/>
              <w:left w:val="single" w:color="auto" w:sz="6" w:space="0"/>
              <w:bottom w:val="single" w:color="auto" w:sz="6" w:space="0"/>
              <w:right w:val="single" w:color="auto" w:sz="6" w:space="0"/>
            </w:tcBorders>
            <w:shd w:val="clear" w:color="auto" w:fill="auto"/>
            <w:vAlign w:val="center"/>
          </w:tcPr>
          <w:p>
            <w:pPr>
              <w:widowControl/>
              <w:autoSpaceDN w:val="0"/>
              <w:adjustRightInd w:val="0"/>
              <w:snapToGrid w:val="0"/>
              <w:spacing w:after="160" w:line="312" w:lineRule="auto"/>
              <w:ind w:firstLine="420" w:firstLineChars="200"/>
              <w:rPr>
                <w:rFonts w:hint="eastAsia" w:ascii="仿宋" w:hAnsi="仿宋" w:eastAsia="仿宋" w:cs="仿宋"/>
              </w:rPr>
            </w:pPr>
            <w:r>
              <w:rPr>
                <w:rFonts w:hint="eastAsia" w:ascii="仿宋" w:hAnsi="仿宋" w:eastAsia="仿宋" w:cs="仿宋"/>
                <w:kern w:val="0"/>
                <w:szCs w:val="24"/>
                <w:lang w:bidi="ar"/>
              </w:rPr>
              <w:t>12.5%</w:t>
            </w:r>
          </w:p>
        </w:tc>
        <w:tc>
          <w:tcPr>
            <w:tcW w:w="1755" w:type="dxa"/>
            <w:tcBorders>
              <w:top w:val="single" w:color="auto" w:sz="6" w:space="0"/>
              <w:left w:val="single" w:color="auto" w:sz="6" w:space="0"/>
              <w:bottom w:val="single" w:color="auto" w:sz="6" w:space="0"/>
              <w:right w:val="single" w:color="auto" w:sz="12" w:space="0"/>
            </w:tcBorders>
            <w:shd w:val="clear" w:color="auto" w:fill="auto"/>
            <w:vAlign w:val="center"/>
          </w:tcPr>
          <w:p>
            <w:pPr>
              <w:widowControl/>
              <w:autoSpaceDN w:val="0"/>
              <w:adjustRightInd w:val="0"/>
              <w:snapToGrid w:val="0"/>
              <w:spacing w:after="160"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lang w:bidi="ar"/>
              </w:rPr>
              <w:t>7.5%</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jc w:val="center"/>
        </w:trPr>
        <w:tc>
          <w:tcPr>
            <w:tcW w:w="8536" w:type="dxa"/>
            <w:gridSpan w:val="3"/>
            <w:tcBorders>
              <w:top w:val="single" w:color="auto" w:sz="6" w:space="0"/>
              <w:left w:val="nil"/>
              <w:bottom w:val="nil"/>
              <w:right w:val="nil"/>
            </w:tcBorders>
            <w:shd w:val="clear" w:color="auto" w:fill="auto"/>
            <w:vAlign w:val="center"/>
          </w:tcPr>
          <w:p>
            <w:pPr>
              <w:adjustRightInd w:val="0"/>
              <w:snapToGrid w:val="0"/>
              <w:spacing w:after="160"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lang w:bidi="ar"/>
              </w:rPr>
              <w:t>注：1.农合机构包括:农村商业银行、农村合作银行、农村信用合作社。</w:t>
            </w:r>
          </w:p>
          <w:p>
            <w:pPr>
              <w:adjustRightInd w:val="0"/>
              <w:snapToGrid w:val="0"/>
              <w:spacing w:after="160"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lang w:bidi="ar"/>
              </w:rPr>
              <w:t>2.不包括第二档中的城市商业银行。</w:t>
            </w:r>
          </w:p>
        </w:tc>
      </w:tr>
    </w:tbl>
    <w:p>
      <w:pPr>
        <w:adjustRightInd w:val="0"/>
        <w:snapToGrid w:val="0"/>
        <w:spacing w:line="312" w:lineRule="auto"/>
        <w:ind w:firstLine="420" w:firstLineChars="200"/>
        <w:rPr>
          <w:rFonts w:hint="eastAsia" w:ascii="仿宋" w:hAnsi="仿宋" w:eastAsia="仿宋" w:cs="仿宋"/>
          <w:kern w:val="0"/>
          <w:szCs w:val="24"/>
        </w:rPr>
      </w:pPr>
    </w:p>
    <w:p>
      <w:pPr>
        <w:adjustRightInd w:val="0"/>
        <w:snapToGrid w:val="0"/>
        <w:spacing w:line="312" w:lineRule="auto"/>
        <w:jc w:val="center"/>
        <w:rPr>
          <w:rFonts w:hint="eastAsia" w:ascii="仿宋" w:hAnsi="仿宋" w:eastAsia="仿宋" w:cs="仿宋"/>
          <w:b/>
          <w:kern w:val="0"/>
          <w:szCs w:val="24"/>
        </w:rPr>
      </w:pPr>
      <w:r>
        <w:rPr>
          <w:rFonts w:hint="eastAsia" w:ascii="仿宋" w:hAnsi="仿宋" w:eastAsia="仿宋" w:cs="仿宋"/>
          <w:szCs w:val="24"/>
          <w:lang w:bidi="ar"/>
        </w:rPr>
        <w:br w:type="page"/>
      </w:r>
      <w:r>
        <w:rPr>
          <w:rFonts w:hint="eastAsia" w:ascii="仿宋" w:hAnsi="仿宋" w:eastAsia="仿宋" w:cs="仿宋"/>
          <w:b/>
          <w:kern w:val="0"/>
          <w:szCs w:val="24"/>
          <w:lang w:bidi="ar"/>
        </w:rPr>
        <w:t>中国人民银行 银保监会关于建立</w:t>
      </w:r>
      <w:r>
        <w:rPr>
          <w:rFonts w:hint="eastAsia" w:ascii="仿宋" w:hAnsi="仿宋" w:eastAsia="仿宋" w:cs="仿宋"/>
          <w:b/>
          <w:kern w:val="0"/>
          <w:szCs w:val="24"/>
          <w:lang w:bidi="ar"/>
        </w:rPr>
        <w:br w:type="textWrapping"/>
      </w:r>
      <w:r>
        <w:rPr>
          <w:rFonts w:hint="eastAsia" w:ascii="仿宋" w:hAnsi="仿宋" w:eastAsia="仿宋" w:cs="仿宋"/>
          <w:b/>
          <w:kern w:val="0"/>
          <w:szCs w:val="24"/>
          <w:lang w:bidi="ar"/>
        </w:rPr>
        <w:t>银行业金融机构房地产贷款集中度管理制度的答记者问</w:t>
      </w:r>
    </w:p>
    <w:p>
      <w:pPr>
        <w:adjustRightInd w:val="0"/>
        <w:snapToGrid w:val="0"/>
        <w:spacing w:line="312" w:lineRule="auto"/>
        <w:ind w:firstLine="422" w:firstLineChars="200"/>
        <w:rPr>
          <w:rFonts w:hint="eastAsia" w:ascii="仿宋" w:hAnsi="仿宋" w:eastAsia="仿宋" w:cs="仿宋"/>
          <w:b/>
          <w:kern w:val="0"/>
          <w:szCs w:val="24"/>
        </w:rPr>
      </w:pPr>
      <w:r>
        <w:rPr>
          <w:rFonts w:hint="eastAsia" w:ascii="仿宋" w:hAnsi="仿宋" w:eastAsia="仿宋" w:cs="仿宋"/>
          <w:b/>
          <w:kern w:val="0"/>
          <w:szCs w:val="24"/>
          <w:lang w:bidi="ar"/>
        </w:rPr>
        <w:t>1、为什么要建立房地产贷款集中度管理制度？</w:t>
      </w:r>
    </w:p>
    <w:p>
      <w:pPr>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lang w:bidi="ar"/>
        </w:rPr>
        <w:t>近年来，在党中央、国务院统一部署下，房地产长效机制实施取得明显成效。根据党中央、国务院关于进一步落实房地产长效机制、实施好房地产金融审慎管理制度的要求，人民银行、银保监会借鉴国际经验并结合我国国情，研究制定了房地产贷款集中度管理制度，以提高金融体系韧性和稳健性，促进房地产市场平稳健康发展。同时，推动金融供给侧结构性改革，强化银行业金融机构内在约束，优化信贷结构，支持制造业、科技等经济社会发展重点领域和小微、三农等薄弱环节融资，推动金融、房地产同实体经济均衡发展。</w:t>
      </w:r>
    </w:p>
    <w:p>
      <w:pPr>
        <w:adjustRightInd w:val="0"/>
        <w:snapToGrid w:val="0"/>
        <w:spacing w:line="312" w:lineRule="auto"/>
        <w:ind w:firstLine="420" w:firstLineChars="200"/>
        <w:rPr>
          <w:rFonts w:hint="eastAsia" w:ascii="仿宋" w:hAnsi="仿宋" w:eastAsia="仿宋" w:cs="仿宋"/>
          <w:kern w:val="0"/>
          <w:szCs w:val="24"/>
        </w:rPr>
      </w:pPr>
    </w:p>
    <w:p>
      <w:pPr>
        <w:adjustRightInd w:val="0"/>
        <w:snapToGrid w:val="0"/>
        <w:spacing w:line="312" w:lineRule="auto"/>
        <w:ind w:firstLine="422" w:firstLineChars="200"/>
        <w:rPr>
          <w:rFonts w:hint="eastAsia" w:ascii="仿宋" w:hAnsi="仿宋" w:eastAsia="仿宋" w:cs="仿宋"/>
          <w:b/>
          <w:kern w:val="0"/>
          <w:szCs w:val="24"/>
        </w:rPr>
      </w:pPr>
      <w:r>
        <w:rPr>
          <w:rFonts w:hint="eastAsia" w:ascii="仿宋" w:hAnsi="仿宋" w:eastAsia="仿宋" w:cs="仿宋"/>
          <w:b/>
          <w:kern w:val="0"/>
          <w:szCs w:val="24"/>
          <w:lang w:bidi="ar"/>
        </w:rPr>
        <w:t>2、房地产贷款集中度管理制度的主要内容是什么？</w:t>
      </w:r>
    </w:p>
    <w:p>
      <w:pPr>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lang w:bidi="ar"/>
        </w:rPr>
        <w:t>房地产贷款集中度管理制度是指，在我国境内设立的中资法人银行业金融机构，其房地产贷款余额占比及个人住房贷款余额占比应满足人民银行、银保监会确定的管理要求，即不得高于人民银行、银保监会确定的相应上限。</w:t>
      </w:r>
    </w:p>
    <w:p>
      <w:pPr>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lang w:bidi="ar"/>
        </w:rPr>
        <w:t>人民银行、银保监会根据银行业金融机构的资产规模、机构类型等因素，分档设定了房地产贷款集中度管理要求。管理要求的设定综合考虑了银行类型、存量房地产贷款业务现状及未来空间。同时，为体现区域差异，确定地方法人银行业金融机构的房地产贷款集中度管理要求时，可以有适度的弹性。管理制度还设置了过渡期，以保证政策的平稳实施，促进房地产市场和金融市场平稳健康发展。管理要求以法人（不含境外分行）为单位设定并执行，对全国性银行在各地的分支机构不单独设定要求。</w:t>
      </w:r>
    </w:p>
    <w:p>
      <w:pPr>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lang w:bidi="ar"/>
        </w:rPr>
        <w:t>当前超出管理要求的银行业金融机构，应结合自身实际，制定过渡期业务调整方案；符合管理要求的银行业金融机构，应稳健开展房地产贷款相关业务，人民银行、银保监会将密切监测相关银行业金融机构房地产贷款业务开展情况，对异常增长的，将督促采取措施及时予以校正。</w:t>
      </w:r>
    </w:p>
    <w:p>
      <w:pPr>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lang w:bidi="ar"/>
        </w:rPr>
        <w:t>为支持大力发展住房租赁市场，住房租赁有关贷款暂不纳入房地产贷款占比计算。目前，人民银行正会同相关部门研究制定住房租赁金融业务有关意见，并建立相应统计制度，届时对于符合定义的住房租赁有关贷款，将不纳入集中度管理统计范围。</w:t>
      </w:r>
    </w:p>
    <w:p>
      <w:pPr>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lang w:bidi="ar"/>
        </w:rPr>
        <w:t>为配合资管新规的实施，资管新规过渡期内（至2021年底）回表的房地产贷款不纳入统计范围。</w:t>
      </w:r>
    </w:p>
    <w:p>
      <w:pPr>
        <w:adjustRightInd w:val="0"/>
        <w:snapToGrid w:val="0"/>
        <w:spacing w:line="312" w:lineRule="auto"/>
        <w:ind w:firstLine="420" w:firstLineChars="200"/>
        <w:rPr>
          <w:rFonts w:hint="eastAsia" w:ascii="仿宋" w:hAnsi="仿宋" w:eastAsia="仿宋" w:cs="仿宋"/>
          <w:kern w:val="0"/>
          <w:szCs w:val="24"/>
        </w:rPr>
      </w:pPr>
    </w:p>
    <w:p>
      <w:pPr>
        <w:adjustRightInd w:val="0"/>
        <w:snapToGrid w:val="0"/>
        <w:spacing w:line="312" w:lineRule="auto"/>
        <w:ind w:firstLine="422" w:firstLineChars="200"/>
        <w:rPr>
          <w:rFonts w:hint="eastAsia" w:ascii="仿宋" w:hAnsi="仿宋" w:eastAsia="仿宋" w:cs="仿宋"/>
          <w:b/>
          <w:kern w:val="0"/>
          <w:szCs w:val="24"/>
        </w:rPr>
      </w:pPr>
      <w:r>
        <w:rPr>
          <w:rFonts w:hint="eastAsia" w:ascii="仿宋" w:hAnsi="仿宋" w:eastAsia="仿宋" w:cs="仿宋"/>
          <w:b/>
          <w:kern w:val="0"/>
          <w:szCs w:val="24"/>
          <w:lang w:bidi="ar"/>
        </w:rPr>
        <w:t>3、建立房地产贷款集中度管理制度对房地产市场会产生怎样的影响？</w:t>
      </w:r>
    </w:p>
    <w:p>
      <w:pPr>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lang w:bidi="ar"/>
        </w:rPr>
        <w:t>2019年以来，人民银行、银保监会已就房地产贷款集中度管理制度开展了广泛调研，与金融机构进行了充分的沟通，相关指标设定充分考虑了银行业金融机构实际情况，并采取了分类分档、差别化过渡期、区域调节机制等多种机制安排。目前，大部分银行业金融机构符合管理要求，人民银行、银保监会将要求其稳健开展房地产贷款相关业务，保持房地产贷款占比及个人住房贷款占比基本稳定。对于超出管理要求的银行业金融机构，将要求其合理选择业务调整方式、按年度合理分布业务调整规模，确保调整节奏相对平稳、调整工作稳妥有序推进。个别调降压力较大的银行，通过延长过渡期等方式差异化处理，确保政策平稳实施。</w:t>
      </w:r>
    </w:p>
    <w:p>
      <w:pPr>
        <w:adjustRightInd w:val="0"/>
        <w:snapToGrid w:val="0"/>
        <w:spacing w:line="312" w:lineRule="auto"/>
        <w:ind w:firstLine="420" w:firstLineChars="200"/>
        <w:rPr>
          <w:rFonts w:hint="eastAsia" w:ascii="仿宋" w:hAnsi="仿宋" w:eastAsia="仿宋" w:cs="仿宋"/>
          <w:kern w:val="0"/>
          <w:szCs w:val="24"/>
        </w:rPr>
      </w:pPr>
    </w:p>
    <w:p>
      <w:pPr>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lang w:bidi="ar"/>
        </w:rPr>
        <w:t>总体而言，建立房地产贷款集中度管理制度，有利于市场主体形成稳定的政策预期，有利于房地产市场平稳健康可持续发展。</w:t>
      </w:r>
    </w:p>
    <w:p>
      <w:pPr>
        <w:rPr>
          <w:rFonts w:hint="eastAsia" w:ascii="仿宋" w:hAnsi="仿宋" w:eastAsia="仿宋" w:cs="仿宋"/>
        </w:rPr>
      </w:pPr>
    </w:p>
    <w:p>
      <w:pPr>
        <w:rPr>
          <w:rFonts w:hint="eastAsia" w:ascii="仿宋" w:hAnsi="仿宋" w:eastAsia="仿宋" w:cs="仿宋"/>
        </w:rPr>
      </w:pPr>
      <w:r>
        <w:rPr>
          <w:rFonts w:hint="eastAsia" w:ascii="仿宋" w:hAnsi="仿宋" w:eastAsia="仿宋" w:cs="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