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28" w:name="_Toc16069"/>
      <w:r>
        <w:rPr>
          <w:rFonts w:hint="eastAsia"/>
        </w:rPr>
        <w:t xml:space="preserve">544--金融机构反洗钱和反恐怖融资监督管理办法 </w:t>
      </w:r>
      <w:r>
        <w:rPr>
          <w:rFonts w:hint="eastAsia"/>
        </w:rPr>
        <w:br w:type="textWrapping"/>
      </w:r>
      <w:r>
        <w:rPr>
          <w:rFonts w:hint="eastAsia"/>
        </w:rPr>
        <w:t>中国人民银行令〔2021〕第3号</w:t>
      </w:r>
      <w:bookmarkEnd w:id="1428"/>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《金融机构反洗钱和反恐怖融资监督管理办法》已经2021年4月12日中国人民银行2021年第3次行务会议审议通过，现予发布，自2021年8月1日起施行。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行　长易纲</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2021年4月15日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rPr>
        <w:t>金融机构反洗钱和反恐怖融资监督管理办法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了督促金融机构有效履行反洗钱和反恐怖融资义务，规范反洗钱和反恐怖融资监督管理行为，根据《中华人民共和国反洗钱法》《中华人民共和国中国人民银行法》《中华人民共和国反恐怖主义法》等法律法规，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本办法适用于在中华人民共和国境内依法设立的下列金融机构：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（一）开发性金融机构、政策性银行、商业银行、农村合作银行、农村信用合作社、村镇银行；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（二）证券公司、期货公司、证券投资基金管理公司；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（三）保险公司、保险资产管理公司；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（四）信托公司、金融资产管理公司、企业集团财务公司、金融租赁公司、汽车金融公司、消费金融公司、货币经纪公司、贷款公司、银行理财子公司；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（五）中国人民银行确定并公布应当履行反洗钱和反恐怖融资义务的其他金融机构。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非银行支付机构、银行卡清算机构、资金清算中心、网络小额贷款公司以及从事汇兑业务、基金销售业务、保险专业代理和保险经纪业务的机构，适用本办法关于金融机构的监督管理规定。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中国人民银行及其分支机构依法对金融机构反洗钱和反恐怖融资工作进行监督管理。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金融机构应当按照规定建立健全反洗钱和反恐怖融资内部控制制度，评估洗钱和恐怖融资风险，建立与风险状况和经营规模相适应的风险管理机制，搭建反洗钱信息系统，设立或者指定部门并配备相应人员，有效履行反洗钱和反恐怖融资义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对依法履行反洗钱和反恐怖融资职责或者义务获得的客户身份资料和交易信息，应当予以保密，非依法律规定不得对外提供。</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金融机构反洗钱和反恐怖融资内部控制和风险管理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第六条  </w:t>
      </w:r>
      <w:r>
        <w:rPr>
          <w:rFonts w:hint="eastAsia" w:ascii="仿宋" w:hAnsi="仿宋" w:eastAsia="仿宋" w:cs="仿宋"/>
        </w:rPr>
        <w:t>金融机构应当按照规定，结合本机构经营规模以及洗钱和恐怖融资风险状况，建立健全反洗钱和反恐怖融资内部控制制度。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金融机构应当在总部层面建立洗钱和恐怖融资风险自评估制度，定期或不定期评估洗钱和恐怖融资风险，经董事会或者高级管理层审定之日起10个工作日内，将自评估情况报送中国人民银行或者所在地中国人民银行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洗钱和恐怖融资风险自评估应当与本机构经营规模和业务特征相适应，充分考虑客户、地域、业务、交易渠道等方面的风险要素类型及其变化情况，并吸收运用国家洗钱和恐怖融资风险评估报告、监管部门及自律组织的指引等。金融机构在采用新技术、开办新业务或者提供新产品、新服务前，或者其面临的洗钱或者恐怖融资风险发生显著变化时，应当进行洗钱和恐怖融资风险评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金融机构应当定期审查和不断优化洗钱和恐怖融资风险评估工作流程和指标体系。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金融机构应当根据本机构经营规模和已识别出的洗钱和恐怖融资风险状况，经董事会或者高级管理层批准，制定相应的风险管理政策，并根据风险状况变化和控制措施执行情况及时调整。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当将洗钱和恐怖融资风险管理纳入本机构全面风险管理体系，覆盖各项业务活动和管理流程；针对识别的较高风险情形，应当采取强化措施，管理和降低风险；针对识别的较低风险情形，可以采取简化措施；超出金融机构风险控制能力的，不得与客户建立业务关系或者进行交易，已经建立业务关系的，应当中止交易并考虑提交可疑交易报告，必要时终止业务关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金融机构应当设立专门部门或者指定内设部门牵头开展反洗钱和反恐怖融资管理工作。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金融机构应当明确董事会、监事会、高级管理层和相关部门的反洗钱和反恐怖融资职责，建立相应的绩效考核和奖惩机制。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金融机构应当任命或者授权一名高级管理人员牵头负责反洗钱和反恐怖融资管理工作，并采取合理措施确保其独立开展工作以及充分获取履职所需权限和资源。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当根据本机构经营规模、洗钱和恐怖融资风险状况和业务发展趋势配备充足的反洗钱岗位人员，采取适当措施确保反洗钱岗位人员的资质、经验、专业素质及职业道德符合要求，制定持续的反洗钱和反恐怖融资培训计划。</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金融机构应当根据反洗钱和反恐怖融资工作需要，建立和完善相关信息系统，并根据风险状况、反洗钱和反恐怖融资工作需求变化及时优化升级。</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金融机构应当建立反洗钱和反恐怖融资审计机制，通过内部审计或者独立审计等方式，审查反洗钱和反恐怖融资内部控制制度制定和执行情况。审计应当遵循独立性原则，全面覆盖境内外分支机构、控股附属机构，审计的范围、方法和频率应当与本机构经营规模及洗钱和恐怖融资风险状况相适应，审计报告应当向董事会或者其授权的专门委员会提交。</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第十二条  </w:t>
      </w:r>
      <w:r>
        <w:rPr>
          <w:rFonts w:hint="eastAsia" w:ascii="仿宋" w:hAnsi="仿宋" w:eastAsia="仿宋" w:cs="仿宋"/>
        </w:rPr>
        <w:t>金融机构应当在总部层面制定统一的反洗钱和反恐怖融资机制安排，包括为开展客户尽职调查、洗钱和恐怖融资风险管理，共享反洗钱和反恐怖融资信息的制度和程序，并确保其所有分支机构和控股附属机构结合自身业务特点有效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金融机构在共享和使用反洗钱和反恐怖融资信息方面应当依法提供信息并防止信息泄露。</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金融机构应当要求其境外分支机构和控股附属机构在驻在国家（地区）法律规定允许的范围内，执行本办法；驻在国家（地区）有更严格要求的，遵守其规定。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果本办法的要求比驻在国家（地区）的相关规定更为严格，但驻在国家（地区）法律禁止或者限制境外分支机构和控股附属机构实施本办法的，金融机构应当采取适当的补充措施应对洗钱和恐怖融资风险，并向中国人民银行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金融机构应当按照规定，结合内部控制制度和风险管理机制的相关要求，履行客户尽职调查、客户身份资料和交易记录保存、大额交易和可疑交易报告等义务。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金融机构应当按照中国人民银行的规定报送反洗钱和反恐怖融资工作信息。金融机构应当对相关信息的真实性、完整性、有效性负责。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在境外设有分支机构或控股附属机构的，境内金融机构总部应当按年度向中国人民银行或者所在地中国人民银行分支机构报告境外分支机构或控股附属机构接受驻在国家（地区）反洗钱和反恐怖融资监管情况。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第十七条  </w:t>
      </w:r>
      <w:r>
        <w:rPr>
          <w:rFonts w:hint="eastAsia" w:ascii="仿宋" w:hAnsi="仿宋" w:eastAsia="仿宋" w:cs="仿宋"/>
        </w:rPr>
        <w:t>发生下列情况的，金融机构应当按照规定及时向中国人民银行或者所在地中国人民银行分支机构报告：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（一）制定或者修订主要反洗钱和反恐怖融资内部控制制度的；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（二）牵头负责反洗钱和反恐怖融资工作的高级管理人员、牵头管理部门或者部门主要负责人调整的；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（三）发生涉及反洗钱和反恐怖融资工作的重大风险事项的；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（四）境外分支机构和控股附属机构受到当地监管当局或者司法部门开展的与反洗钱和反恐怖融资相关的执法检查、行政处罚、刑事调查或者发生其他重大风险事件的；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（五）中国人民银行要求报告的其他事项。</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反洗钱和反恐怖融资监督管理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第十八条  </w:t>
      </w:r>
      <w:r>
        <w:rPr>
          <w:rFonts w:hint="eastAsia" w:ascii="仿宋" w:hAnsi="仿宋" w:eastAsia="仿宋" w:cs="仿宋"/>
        </w:rPr>
        <w:t>中国人民银行及其分支机构应当遵循风险为本和法人监管原则，合理运用各类监管方法，实现对不同类型金融机构的有效监管。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中国人民银行及其分支机构可以向国务院金融监督管理机构或者其派出机构通报对金融机构反洗钱和反恐怖融资监管情况。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第十九条  </w:t>
      </w:r>
      <w:r>
        <w:rPr>
          <w:rFonts w:hint="eastAsia" w:ascii="仿宋" w:hAnsi="仿宋" w:eastAsia="仿宋" w:cs="仿宋"/>
        </w:rPr>
        <w:t>根据履行反洗钱和反恐怖融资职责的需要，中国人民银行及其分支机构可以按照规定程序，对金融机构履行反洗钱和反恐怖融资义务的情况开展执法检查。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中国人民银行及其分支机构可以对其下级机构负责监督管理的金融机构进行反洗钱和反恐怖融资执法检查，可以授权下级机构检查由上级机构负责监督管理的金融机构。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第二十条  </w:t>
      </w:r>
      <w:r>
        <w:rPr>
          <w:rFonts w:hint="eastAsia" w:ascii="仿宋" w:hAnsi="仿宋" w:eastAsia="仿宋" w:cs="仿宋"/>
        </w:rPr>
        <w:t>中国人民银行及其分支机构开展反洗钱和反恐怖融资执法检查，应当依据现行反洗钱和反恐怖融资规定，按照中国人民银行执法检查有关程序规定组织实施。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第二十一条  </w:t>
      </w:r>
      <w:r>
        <w:rPr>
          <w:rFonts w:hint="eastAsia" w:ascii="仿宋" w:hAnsi="仿宋" w:eastAsia="仿宋" w:cs="仿宋"/>
        </w:rPr>
        <w:t>中国人民银行及其分支机构应当根据执法检查有关程序规定，规范有效地开展执法检查工作，重点加强对以下机构的监督管理：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（一）涉及洗钱和恐怖融资案件的机构；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（二）洗钱和恐怖融资风险较高的机构；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（三）通过日常监管、受理举报投诉等方式，发现存在重大违法违规线索的机构；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（四）其他应当重点监管的机构。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第二十二条  </w:t>
      </w:r>
      <w:r>
        <w:rPr>
          <w:rFonts w:hint="eastAsia" w:ascii="仿宋" w:hAnsi="仿宋" w:eastAsia="仿宋" w:cs="仿宋"/>
        </w:rPr>
        <w:t>中国人民银行及其分支机构进入金融机构现场开展反洗钱和反恐怖融资检查的，按照规定可以询问金融机构工作人员，要求其对监管事项作出说明；查阅、复制文件、资料，对可能被转移、隐匿或者销毁的文件、资料予以封存；查验金融机构运用信息化、数字化管理业务数据和进行洗钱和恐怖融资风险管理的系统。</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第二十三条  </w:t>
      </w:r>
      <w:r>
        <w:rPr>
          <w:rFonts w:hint="eastAsia" w:ascii="仿宋" w:hAnsi="仿宋" w:eastAsia="仿宋" w:cs="仿宋"/>
        </w:rPr>
        <w:t>中国人民银行及其分支机构应当根据金融机构报送的反洗钱和反恐怖融资工作信息，结合日常监管中获得的其他信息，对金融机构反洗钱和反恐怖融资制度的建立健全情况和执行情况进行评价。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第二十四条  </w:t>
      </w:r>
      <w:r>
        <w:rPr>
          <w:rFonts w:hint="eastAsia" w:ascii="仿宋" w:hAnsi="仿宋" w:eastAsia="仿宋" w:cs="仿宋"/>
        </w:rPr>
        <w:t>为了有效实施风险为本监管，中国人民银行及其分支机构应当结合国家、地区、行业的洗钱和恐怖融资风险评估情况，在采集金融机构反洗钱和反恐怖融资信息的基础上，对金融机构开展风险评估，及时、准确掌握金融机构洗钱和恐怖融资风险状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第二十五条  </w:t>
      </w:r>
      <w:r>
        <w:rPr>
          <w:rFonts w:hint="eastAsia" w:ascii="仿宋" w:hAnsi="仿宋" w:eastAsia="仿宋" w:cs="仿宋"/>
        </w:rPr>
        <w:t>为了解金融机构洗钱和恐怖融资风险状况，中国人民银行及其分支机构可以对金融机构开展洗钱和恐怖融资风险现场评估。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其分支机构开展现场风险评估应当填制《反洗钱监管审批表》（附1）及《反洗钱监管通知书》（附2），经本行（营业管理部）行长（主任）或者分管副行长（副主任）批准后，至少提前5个工作日将《反洗钱监管通知书》送达被评估的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中国人民银行及其分支机构可以要求被评估的金融机构提供必要的资料数据，也可以现场采集评估需要的信息。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在开展现场风险评估时，中国人民银行及其分支机构的反洗钱工作人员不得少于2人，并出示合法证件。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现场风险评估结束后，中国人民银行及其分支机构应当制发《反洗钱监管意见书》（附3），将风险评估结论和发现的问题反馈被评估的金融机构。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第二十六条  </w:t>
      </w:r>
      <w:r>
        <w:rPr>
          <w:rFonts w:hint="eastAsia" w:ascii="仿宋" w:hAnsi="仿宋" w:eastAsia="仿宋" w:cs="仿宋"/>
        </w:rPr>
        <w:t>根据金融机构合规情况和风险状况，中国人民银行及其分支机构可以采取监管提示、约见谈话、监管走访等措施。在监管过程中，发现金融机构存在较高洗钱和恐怖融资风险或者涉嫌违反反洗钱和反恐怖融资规定的，中国人民银行及其分支机构应当及时开展执法检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第二十七条  </w:t>
      </w:r>
      <w:r>
        <w:rPr>
          <w:rFonts w:hint="eastAsia" w:ascii="仿宋" w:hAnsi="仿宋" w:eastAsia="仿宋" w:cs="仿宋"/>
        </w:rPr>
        <w:t>金融机构存在洗钱和恐怖融资风险隐患，或者反洗钱和反恐怖融资工作存在明显漏洞，需要提示金融机构关注的，经中国人民银行或其分支机构反洗钱部门负责人批准，可以向该金融机构发出《反洗钱监管提示函》（附4），要求其采取必要的管控措施，督促其整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当自收到《反洗钱监管提示函》之日起20个工作日内，经本机构分管反洗钱和反恐怖融资工作负责人签批后作出书面答复；不能及时作出答复的，经中国人民银行或者其所在地中国人民银行分支机构同意后，在延长时限内作出答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第二十八条  </w:t>
      </w:r>
      <w:r>
        <w:rPr>
          <w:rFonts w:hint="eastAsia" w:ascii="仿宋" w:hAnsi="仿宋" w:eastAsia="仿宋" w:cs="仿宋"/>
        </w:rPr>
        <w:t>根据履行反洗钱和反恐怖融资职责的需要，针对金融机构反洗钱和反恐怖融义务履行不到位、突出风险事件等重要问题，中国人民银行及其分支机构可以约见金融机构董事、监事、高级管理人员或者部门负责人进行谈话。</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第二十九条  </w:t>
      </w:r>
      <w:r>
        <w:rPr>
          <w:rFonts w:hint="eastAsia" w:ascii="仿宋" w:hAnsi="仿宋" w:eastAsia="仿宋" w:cs="仿宋"/>
        </w:rPr>
        <w:t>中国人民银行及其分支机构进行约见谈话前，应当填制《反洗钱监管审批表》及《反洗钱监管通知书》。约见金融机构董事、监事、高级管理人员，应当经本行（营业管理部）行长（主任）或者分管副行长（副主任）批准；约见金融机构部门负责人的，应当经本行（营业管理部）反洗钱部门负责人批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《反洗钱监管通知书》应当至少提前2个工作日送达被谈话机构。情况特殊需要立即进行约见谈话的，应当在约见谈话现场送达《反洗钱监管通知书》。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约见谈话时，中国人民银行及其分支机构反洗钱工作人员不得少于2人。谈话结束后，应当填写《反洗钱约谈记录》（附5）并经被谈话人签字确认。</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第三十条  </w:t>
      </w:r>
      <w:r>
        <w:rPr>
          <w:rFonts w:hint="eastAsia" w:ascii="仿宋" w:hAnsi="仿宋" w:eastAsia="仿宋" w:cs="仿宋"/>
        </w:rPr>
        <w:t>为了解、核实金融机构反洗钱和反恐怖融资政策执行情况以及监管意见整改情况，中国人民银行及其分支机构可以对金融机构开展监管走访。</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第三十一条  </w:t>
      </w:r>
      <w:r>
        <w:rPr>
          <w:rFonts w:hint="eastAsia" w:ascii="仿宋" w:hAnsi="仿宋" w:eastAsia="仿宋" w:cs="仿宋"/>
        </w:rPr>
        <w:t>中国人民银行及其分支机构进行监管走访前，应当填制《反洗钱监管审批表》及《反洗钱监管通知书》，由本行（营业管理部）行长（主任）或者分管副行长（副主任）批准。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《反洗钱监管通知书》应当至少提前5个工作日送达金融机构。情况特殊需要立即实施监管走访的，应当在进入金融机构现场时送达《反洗钱监管通知书》。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监管走访时，中国人民银行及其分支机构反洗钱工作人员不得少于2人，并出示合法证件。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中国人民银行及其分支机构应当做好监管走访记录，必要时，可以制发《反洗钱监管意见书》。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第三十二条  </w:t>
      </w:r>
      <w:r>
        <w:rPr>
          <w:rFonts w:hint="eastAsia" w:ascii="仿宋" w:hAnsi="仿宋" w:eastAsia="仿宋" w:cs="仿宋"/>
        </w:rPr>
        <w:t>中国人民银行及其分支机构应当持续跟踪金融机构对监管发现问题的整改情况，对于未合理制定整改计划或者未有效实施整改的，可以启动执法检查或者进一步采取其他监管措施。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第三十三条  </w:t>
      </w:r>
      <w:r>
        <w:rPr>
          <w:rFonts w:hint="eastAsia" w:ascii="仿宋" w:hAnsi="仿宋" w:eastAsia="仿宋" w:cs="仿宋"/>
        </w:rPr>
        <w:t>中国人民银行分支机构对金融机构分支机构依法实施行政处罚，或者在监管过程中发现涉及金融机构总部的重大问题、系统性缺陷的，应当及时将处罚决定或者监管意见抄送中国人民银行或者金融机构总部所在地中国人民银行分支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第三十四条  </w:t>
      </w:r>
      <w:r>
        <w:rPr>
          <w:rFonts w:hint="eastAsia" w:ascii="仿宋" w:hAnsi="仿宋" w:eastAsia="仿宋" w:cs="仿宋"/>
        </w:rPr>
        <w:t>中国人民银行及其分支机构监管人员违反规定程序或者超越职权规定实施监管的，金融机构有权拒绝或者提出异议。金融机构对中国人民银行及其分支机构提出的违法违规问题有权提出申辩，有合理理由的，中国人民银行及其分支机构应当采纳。</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法律责任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第三十五条  </w:t>
      </w:r>
      <w:r>
        <w:rPr>
          <w:rFonts w:hint="eastAsia" w:ascii="仿宋" w:hAnsi="仿宋" w:eastAsia="仿宋" w:cs="仿宋"/>
        </w:rPr>
        <w:t>中国人民银行及其分支机构从事反洗钱工作的人员，违反本办法有关规定的，按照《中华人民共和国反洗钱法》</w:t>
      </w:r>
      <w:r>
        <w:rPr>
          <w:rFonts w:hint="eastAsia" w:ascii="仿宋" w:hAnsi="仿宋" w:eastAsia="仿宋" w:cs="仿宋"/>
          <w:b/>
        </w:rPr>
        <w:t xml:space="preserve">第三十条  </w:t>
      </w:r>
      <w:r>
        <w:rPr>
          <w:rFonts w:hint="eastAsia" w:ascii="仿宋" w:hAnsi="仿宋" w:eastAsia="仿宋" w:cs="仿宋"/>
        </w:rPr>
        <w:t>的规定予以处分。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第三十六条  </w:t>
      </w:r>
      <w:r>
        <w:rPr>
          <w:rFonts w:hint="eastAsia" w:ascii="仿宋" w:hAnsi="仿宋" w:eastAsia="仿宋" w:cs="仿宋"/>
        </w:rPr>
        <w:t>金融机构违反本办法有关规定的，由中国人民银行或者其地市中心支行以上分支机构按照《中华人民共和国反洗钱法》</w:t>
      </w:r>
      <w:r>
        <w:rPr>
          <w:rFonts w:hint="eastAsia" w:ascii="仿宋" w:hAnsi="仿宋" w:eastAsia="仿宋" w:cs="仿宋"/>
          <w:b/>
        </w:rPr>
        <w:t xml:space="preserve">第三十一条  </w:t>
      </w:r>
      <w:r>
        <w:rPr>
          <w:rFonts w:hint="eastAsia" w:ascii="仿宋" w:hAnsi="仿宋" w:eastAsia="仿宋" w:cs="仿宋"/>
        </w:rPr>
        <w:t>、</w:t>
      </w:r>
      <w:r>
        <w:rPr>
          <w:rFonts w:hint="eastAsia" w:ascii="仿宋" w:hAnsi="仿宋" w:eastAsia="仿宋" w:cs="仿宋"/>
          <w:b/>
        </w:rPr>
        <w:t xml:space="preserve">第三十二条  </w:t>
      </w:r>
      <w:r>
        <w:rPr>
          <w:rFonts w:hint="eastAsia" w:ascii="仿宋" w:hAnsi="仿宋" w:eastAsia="仿宋" w:cs="仿宋"/>
        </w:rPr>
        <w:t>的规定进行处理；区别不同情形，建议国务院金融监督管理机构依法予以处理。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中国人民银行县（市）支行发现金融机构违反本规定的，应报告其上一级分支机构，由该分支机构按照前款规定进行处理或提出建议。</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第三十七条  </w:t>
      </w:r>
      <w:r>
        <w:rPr>
          <w:rFonts w:hint="eastAsia" w:ascii="仿宋" w:hAnsi="仿宋" w:eastAsia="仿宋" w:cs="仿宋"/>
        </w:rPr>
        <w:t>金融集团适用本办法</w:t>
      </w:r>
      <w:r>
        <w:rPr>
          <w:rFonts w:hint="eastAsia" w:ascii="仿宋" w:hAnsi="仿宋" w:eastAsia="仿宋" w:cs="仿宋"/>
          <w:b/>
        </w:rPr>
        <w:t>第九条第四款、第十一条</w:t>
      </w:r>
      <w:r>
        <w:rPr>
          <w:rFonts w:hint="eastAsia" w:ascii="仿宋" w:hAnsi="仿宋" w:eastAsia="仿宋" w:cs="仿宋"/>
        </w:rPr>
        <w:t>至</w:t>
      </w:r>
      <w:r>
        <w:rPr>
          <w:rFonts w:hint="eastAsia" w:ascii="仿宋" w:hAnsi="仿宋" w:eastAsia="仿宋" w:cs="仿宋"/>
          <w:b/>
        </w:rPr>
        <w:t>第十三条</w:t>
      </w:r>
      <w:r>
        <w:rPr>
          <w:rFonts w:hint="eastAsia" w:ascii="仿宋" w:hAnsi="仿宋" w:eastAsia="仿宋" w:cs="仿宋"/>
        </w:rPr>
        <w:t>的规定。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第三十八条  </w:t>
      </w:r>
      <w:r>
        <w:rPr>
          <w:rFonts w:hint="eastAsia" w:ascii="仿宋" w:hAnsi="仿宋" w:eastAsia="仿宋" w:cs="仿宋"/>
        </w:rPr>
        <w:t>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第三十九条  </w:t>
      </w:r>
      <w:r>
        <w:rPr>
          <w:rFonts w:hint="eastAsia" w:ascii="仿宋" w:hAnsi="仿宋" w:eastAsia="仿宋" w:cs="仿宋"/>
        </w:rPr>
        <w:t>本办法自2021年8月1日起施行。本办法施行前有关反洗钱和反恐怖融资规定与本办法不一致的，按照本办法执行。《金融机构反洗钱监督管理办法（试行）》（银发〔2014〕344号文印发）同时废止。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附：1.反洗钱监管审批表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2.反洗钱监管通知书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3.反洗钱监管意见书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4.反洗钱监管提示函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5.反洗钱约谈记录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w:t>
      </w: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w:t>
      </w:r>
    </w:p>
    <w:p>
      <w:pPr>
        <w:adjustRightInd w:val="0"/>
        <w:snapToGrid w:val="0"/>
        <w:spacing w:line="720" w:lineRule="exact"/>
        <w:ind w:firstLine="883"/>
        <w:jc w:val="center"/>
        <w:rPr>
          <w:rFonts w:hint="eastAsia" w:ascii="仿宋" w:hAnsi="仿宋" w:eastAsia="仿宋" w:cs="仿宋"/>
          <w:sz w:val="44"/>
          <w:szCs w:val="18"/>
        </w:rPr>
      </w:pPr>
      <w:r>
        <w:rPr>
          <w:rFonts w:hint="eastAsia" w:ascii="仿宋" w:hAnsi="仿宋" w:eastAsia="仿宋" w:cs="仿宋"/>
          <w:sz w:val="44"/>
          <w:szCs w:val="18"/>
        </w:rPr>
        <w:t>中国人民银行       行（营业管理部）</w:t>
      </w:r>
    </w:p>
    <w:p>
      <w:pPr>
        <w:adjustRightInd w:val="0"/>
        <w:snapToGrid w:val="0"/>
        <w:spacing w:line="720" w:lineRule="exact"/>
        <w:ind w:firstLine="883"/>
        <w:jc w:val="center"/>
        <w:rPr>
          <w:rFonts w:hint="eastAsia" w:ascii="仿宋" w:hAnsi="仿宋" w:eastAsia="仿宋" w:cs="仿宋"/>
          <w:sz w:val="44"/>
          <w:szCs w:val="18"/>
        </w:rPr>
      </w:pPr>
      <w:r>
        <w:rPr>
          <w:rFonts w:hint="eastAsia" w:ascii="仿宋" w:hAnsi="仿宋" w:eastAsia="仿宋" w:cs="仿宋"/>
          <w:sz w:val="44"/>
          <w:szCs w:val="18"/>
        </w:rPr>
        <w:t>反洗钱监管审批表</w:t>
      </w:r>
    </w:p>
    <w:p>
      <w:pPr>
        <w:adjustRightInd w:val="0"/>
        <w:snapToGrid w:val="0"/>
        <w:spacing w:line="288" w:lineRule="auto"/>
        <w:ind w:firstLine="602"/>
        <w:jc w:val="center"/>
        <w:rPr>
          <w:rFonts w:hint="eastAsia" w:ascii="仿宋" w:hAnsi="仿宋" w:eastAsia="仿宋" w:cs="仿宋"/>
          <w:bCs/>
          <w:sz w:val="30"/>
          <w:szCs w:val="20"/>
        </w:rPr>
      </w:pPr>
    </w:p>
    <w:p>
      <w:pPr>
        <w:adjustRightInd w:val="0"/>
        <w:snapToGrid w:val="0"/>
        <w:spacing w:line="288" w:lineRule="auto"/>
        <w:ind w:firstLine="602"/>
        <w:jc w:val="center"/>
        <w:rPr>
          <w:rFonts w:hint="eastAsia" w:ascii="仿宋" w:hAnsi="仿宋" w:eastAsia="仿宋" w:cs="仿宋"/>
          <w:sz w:val="30"/>
        </w:rPr>
      </w:pPr>
      <w:r>
        <w:rPr>
          <w:rFonts w:hint="eastAsia" w:ascii="仿宋" w:hAnsi="仿宋" w:eastAsia="仿宋" w:cs="仿宋"/>
          <w:bCs/>
          <w:sz w:val="30"/>
        </w:rPr>
        <w:t>反洗钱</w:t>
      </w:r>
      <w:r>
        <w:rPr>
          <w:rFonts w:hint="eastAsia" w:ascii="仿宋" w:hAnsi="仿宋" w:eastAsia="仿宋" w:cs="仿宋"/>
          <w:sz w:val="30"/>
          <w:szCs w:val="18"/>
          <w:u w:val="single"/>
        </w:rPr>
        <w:t xml:space="preserve">    </w:t>
      </w:r>
      <w:r>
        <w:rPr>
          <w:rFonts w:hint="eastAsia" w:ascii="仿宋" w:hAnsi="仿宋" w:eastAsia="仿宋" w:cs="仿宋"/>
          <w:bCs/>
          <w:sz w:val="30"/>
        </w:rPr>
        <w:t>〔〕   号</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44"/>
        <w:gridCol w:w="2880"/>
        <w:gridCol w:w="5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40" w:hRule="atLeast"/>
          <w:jc w:val="center"/>
        </w:trPr>
        <w:tc>
          <w:tcPr>
            <w:tcW w:w="644" w:type="dxa"/>
            <w:vMerge w:val="restart"/>
            <w:tcBorders>
              <w:top w:val="single" w:color="auto" w:sz="4" w:space="0"/>
              <w:left w:val="single" w:color="auto" w:sz="4" w:space="0"/>
              <w:bottom w:val="single" w:color="auto" w:sz="4" w:space="0"/>
              <w:right w:val="single" w:color="auto" w:sz="4" w:space="0"/>
            </w:tcBorders>
            <w:textDirection w:val="tbRlV"/>
            <w:vAlign w:val="center"/>
          </w:tcPr>
          <w:p>
            <w:pPr>
              <w:spacing w:after="160" w:line="276" w:lineRule="auto"/>
              <w:ind w:left="113" w:right="113" w:firstLine="482"/>
              <w:jc w:val="center"/>
              <w:rPr>
                <w:rFonts w:hint="eastAsia" w:ascii="仿宋" w:hAnsi="仿宋" w:eastAsia="仿宋" w:cs="仿宋"/>
                <w:bCs/>
                <w:sz w:val="24"/>
              </w:rPr>
            </w:pPr>
            <w:r>
              <w:rPr>
                <w:rFonts w:hint="eastAsia" w:ascii="仿宋" w:hAnsi="仿宋" w:eastAsia="仿宋" w:cs="仿宋"/>
                <w:bCs/>
                <w:sz w:val="24"/>
              </w:rPr>
              <w:t>反洗钱监管立项申请内容</w:t>
            </w:r>
          </w:p>
        </w:tc>
        <w:tc>
          <w:tcPr>
            <w:tcW w:w="2880" w:type="dxa"/>
            <w:tcBorders>
              <w:top w:val="single" w:color="auto" w:sz="4" w:space="0"/>
              <w:left w:val="single" w:color="auto" w:sz="4" w:space="0"/>
              <w:bottom w:val="single" w:color="auto" w:sz="4" w:space="0"/>
              <w:right w:val="single" w:color="auto" w:sz="4"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项目名称</w:t>
            </w:r>
          </w:p>
        </w:tc>
        <w:tc>
          <w:tcPr>
            <w:tcW w:w="5577" w:type="dxa"/>
            <w:tcBorders>
              <w:top w:val="single" w:color="auto" w:sz="4" w:space="0"/>
              <w:left w:val="single" w:color="auto" w:sz="4" w:space="0"/>
              <w:bottom w:val="single" w:color="auto" w:sz="4" w:space="0"/>
              <w:right w:val="single" w:color="auto" w:sz="4" w:space="0"/>
            </w:tcBorders>
          </w:tcPr>
          <w:p>
            <w:pPr>
              <w:spacing w:after="160" w:line="276" w:lineRule="auto"/>
              <w:ind w:firstLine="482"/>
              <w:rPr>
                <w:rFonts w:hint="eastAsia" w:ascii="仿宋" w:hAnsi="仿宋" w:eastAsia="仿宋" w:cs="仿宋"/>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40" w:hRule="atLeast"/>
          <w:jc w:val="center"/>
        </w:trPr>
        <w:tc>
          <w:tcPr>
            <w:tcW w:w="644"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ind w:firstLine="482"/>
              <w:jc w:val="left"/>
              <w:rPr>
                <w:rFonts w:hint="eastAsia" w:ascii="仿宋" w:hAnsi="仿宋" w:eastAsia="仿宋" w:cs="仿宋"/>
                <w:bCs/>
                <w:sz w:val="24"/>
              </w:rPr>
            </w:pPr>
          </w:p>
        </w:tc>
        <w:tc>
          <w:tcPr>
            <w:tcW w:w="2880" w:type="dxa"/>
            <w:tcBorders>
              <w:top w:val="single" w:color="auto" w:sz="4" w:space="0"/>
              <w:left w:val="single" w:color="auto" w:sz="4" w:space="0"/>
              <w:bottom w:val="single" w:color="auto" w:sz="4" w:space="0"/>
              <w:right w:val="single" w:color="auto" w:sz="4"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监管理由</w:t>
            </w:r>
          </w:p>
        </w:tc>
        <w:tc>
          <w:tcPr>
            <w:tcW w:w="5577" w:type="dxa"/>
            <w:tcBorders>
              <w:top w:val="single" w:color="auto" w:sz="4" w:space="0"/>
              <w:left w:val="single" w:color="auto" w:sz="4" w:space="0"/>
              <w:bottom w:val="single" w:color="auto" w:sz="4" w:space="0"/>
              <w:right w:val="single" w:color="auto" w:sz="4" w:space="0"/>
            </w:tcBorders>
          </w:tcPr>
          <w:p>
            <w:pPr>
              <w:spacing w:after="160" w:line="276" w:lineRule="auto"/>
              <w:ind w:firstLine="482"/>
              <w:rPr>
                <w:rFonts w:hint="eastAsia" w:ascii="仿宋" w:hAnsi="仿宋" w:eastAsia="仿宋" w:cs="仿宋"/>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40" w:hRule="atLeast"/>
          <w:jc w:val="center"/>
        </w:trPr>
        <w:tc>
          <w:tcPr>
            <w:tcW w:w="644"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ind w:firstLine="482"/>
              <w:jc w:val="left"/>
              <w:rPr>
                <w:rFonts w:hint="eastAsia" w:ascii="仿宋" w:hAnsi="仿宋" w:eastAsia="仿宋" w:cs="仿宋"/>
                <w:bCs/>
                <w:sz w:val="24"/>
              </w:rPr>
            </w:pPr>
          </w:p>
        </w:tc>
        <w:tc>
          <w:tcPr>
            <w:tcW w:w="2880" w:type="dxa"/>
            <w:tcBorders>
              <w:top w:val="single" w:color="auto" w:sz="4" w:space="0"/>
              <w:left w:val="single" w:color="auto" w:sz="4" w:space="0"/>
              <w:bottom w:val="single" w:color="auto" w:sz="4" w:space="0"/>
              <w:right w:val="single" w:color="auto" w:sz="4"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监管依据</w:t>
            </w:r>
          </w:p>
        </w:tc>
        <w:tc>
          <w:tcPr>
            <w:tcW w:w="5577" w:type="dxa"/>
            <w:tcBorders>
              <w:top w:val="single" w:color="auto" w:sz="4" w:space="0"/>
              <w:left w:val="single" w:color="auto" w:sz="4" w:space="0"/>
              <w:bottom w:val="single" w:color="auto" w:sz="4" w:space="0"/>
              <w:right w:val="single" w:color="auto" w:sz="4" w:space="0"/>
            </w:tcBorders>
          </w:tcPr>
          <w:p>
            <w:pPr>
              <w:spacing w:after="160" w:line="276" w:lineRule="auto"/>
              <w:ind w:firstLine="482"/>
              <w:rPr>
                <w:rFonts w:hint="eastAsia" w:ascii="仿宋" w:hAnsi="仿宋" w:eastAsia="仿宋" w:cs="仿宋"/>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40" w:hRule="atLeast"/>
          <w:jc w:val="center"/>
        </w:trPr>
        <w:tc>
          <w:tcPr>
            <w:tcW w:w="644"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ind w:firstLine="482"/>
              <w:jc w:val="left"/>
              <w:rPr>
                <w:rFonts w:hint="eastAsia" w:ascii="仿宋" w:hAnsi="仿宋" w:eastAsia="仿宋" w:cs="仿宋"/>
                <w:bCs/>
                <w:sz w:val="24"/>
              </w:rPr>
            </w:pPr>
          </w:p>
        </w:tc>
        <w:tc>
          <w:tcPr>
            <w:tcW w:w="2880" w:type="dxa"/>
            <w:tcBorders>
              <w:top w:val="single" w:color="auto" w:sz="4" w:space="0"/>
              <w:left w:val="single" w:color="auto" w:sz="4" w:space="0"/>
              <w:bottom w:val="single" w:color="auto" w:sz="4" w:space="0"/>
              <w:right w:val="single" w:color="auto" w:sz="4"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监管对象</w:t>
            </w:r>
          </w:p>
        </w:tc>
        <w:tc>
          <w:tcPr>
            <w:tcW w:w="5577" w:type="dxa"/>
            <w:tcBorders>
              <w:top w:val="single" w:color="auto" w:sz="4" w:space="0"/>
              <w:left w:val="single" w:color="auto" w:sz="4" w:space="0"/>
              <w:bottom w:val="single" w:color="auto" w:sz="4" w:space="0"/>
              <w:right w:val="single" w:color="auto" w:sz="4" w:space="0"/>
            </w:tcBorders>
          </w:tcPr>
          <w:p>
            <w:pPr>
              <w:pStyle w:val="338"/>
              <w:widowControl w:val="0"/>
              <w:spacing w:before="0" w:beforeAutospacing="0" w:after="0" w:afterAutospacing="0" w:line="276" w:lineRule="auto"/>
              <w:ind w:firstLine="482"/>
              <w:rPr>
                <w:rFonts w:hint="eastAsia" w:ascii="仿宋" w:hAnsi="仿宋" w:eastAsia="仿宋" w:cs="仿宋"/>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40" w:hRule="atLeast"/>
          <w:jc w:val="center"/>
        </w:trPr>
        <w:tc>
          <w:tcPr>
            <w:tcW w:w="644"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ind w:firstLine="482"/>
              <w:jc w:val="left"/>
              <w:rPr>
                <w:rFonts w:hint="eastAsia" w:ascii="仿宋" w:hAnsi="仿宋" w:eastAsia="仿宋" w:cs="仿宋"/>
                <w:bCs/>
                <w:sz w:val="24"/>
              </w:rPr>
            </w:pPr>
          </w:p>
        </w:tc>
        <w:tc>
          <w:tcPr>
            <w:tcW w:w="2880" w:type="dxa"/>
            <w:tcBorders>
              <w:top w:val="single" w:color="auto" w:sz="4" w:space="0"/>
              <w:left w:val="single" w:color="auto" w:sz="4" w:space="0"/>
              <w:bottom w:val="single" w:color="auto" w:sz="4" w:space="0"/>
              <w:right w:val="single" w:color="auto" w:sz="4"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监管内容</w:t>
            </w:r>
          </w:p>
        </w:tc>
        <w:tc>
          <w:tcPr>
            <w:tcW w:w="5577" w:type="dxa"/>
            <w:tcBorders>
              <w:top w:val="single" w:color="auto" w:sz="4" w:space="0"/>
              <w:left w:val="single" w:color="auto" w:sz="4" w:space="0"/>
              <w:bottom w:val="single" w:color="auto" w:sz="4" w:space="0"/>
              <w:right w:val="single" w:color="auto" w:sz="4" w:space="0"/>
            </w:tcBorders>
          </w:tcPr>
          <w:p>
            <w:pPr>
              <w:spacing w:after="160" w:line="276" w:lineRule="auto"/>
              <w:ind w:firstLine="482"/>
              <w:jc w:val="center"/>
              <w:rPr>
                <w:rFonts w:hint="eastAsia" w:ascii="仿宋" w:hAnsi="仿宋" w:eastAsia="仿宋" w:cs="仿宋"/>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40" w:hRule="atLeast"/>
          <w:jc w:val="center"/>
        </w:trPr>
        <w:tc>
          <w:tcPr>
            <w:tcW w:w="644"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ind w:firstLine="482"/>
              <w:jc w:val="left"/>
              <w:rPr>
                <w:rFonts w:hint="eastAsia" w:ascii="仿宋" w:hAnsi="仿宋" w:eastAsia="仿宋" w:cs="仿宋"/>
                <w:bCs/>
                <w:sz w:val="24"/>
              </w:rPr>
            </w:pPr>
          </w:p>
        </w:tc>
        <w:tc>
          <w:tcPr>
            <w:tcW w:w="2880" w:type="dxa"/>
            <w:tcBorders>
              <w:top w:val="single" w:color="auto" w:sz="4" w:space="0"/>
              <w:left w:val="single" w:color="auto" w:sz="4" w:space="0"/>
              <w:bottom w:val="single" w:color="auto" w:sz="4" w:space="0"/>
              <w:right w:val="single" w:color="auto" w:sz="4"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监管期限</w:t>
            </w:r>
          </w:p>
        </w:tc>
        <w:tc>
          <w:tcPr>
            <w:tcW w:w="5577" w:type="dxa"/>
            <w:tcBorders>
              <w:top w:val="single" w:color="auto" w:sz="4" w:space="0"/>
              <w:left w:val="single" w:color="auto" w:sz="4" w:space="0"/>
              <w:bottom w:val="single" w:color="auto" w:sz="4" w:space="0"/>
              <w:right w:val="single" w:color="auto" w:sz="4"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年   月   日至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40" w:hRule="atLeast"/>
          <w:jc w:val="center"/>
        </w:trPr>
        <w:tc>
          <w:tcPr>
            <w:tcW w:w="644"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ind w:firstLine="482"/>
              <w:jc w:val="left"/>
              <w:rPr>
                <w:rFonts w:hint="eastAsia" w:ascii="仿宋" w:hAnsi="仿宋" w:eastAsia="仿宋" w:cs="仿宋"/>
                <w:bCs/>
                <w:sz w:val="24"/>
              </w:rPr>
            </w:pPr>
          </w:p>
        </w:tc>
        <w:tc>
          <w:tcPr>
            <w:tcW w:w="2880" w:type="dxa"/>
            <w:tcBorders>
              <w:top w:val="single" w:color="auto" w:sz="4" w:space="0"/>
              <w:left w:val="single" w:color="auto" w:sz="4" w:space="0"/>
              <w:bottom w:val="single" w:color="auto" w:sz="4" w:space="0"/>
              <w:right w:val="single" w:color="auto" w:sz="4"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监管方式</w:t>
            </w:r>
          </w:p>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（在对应项后打√）</w:t>
            </w:r>
          </w:p>
        </w:tc>
        <w:tc>
          <w:tcPr>
            <w:tcW w:w="5577" w:type="dxa"/>
            <w:tcBorders>
              <w:top w:val="single" w:color="auto" w:sz="4" w:space="0"/>
              <w:left w:val="single" w:color="auto" w:sz="4" w:space="0"/>
              <w:bottom w:val="single" w:color="auto" w:sz="4" w:space="0"/>
              <w:right w:val="single" w:color="auto" w:sz="4"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约见谈话□  现场风险评估□  监管走访□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40" w:hRule="atLeast"/>
          <w:jc w:val="center"/>
        </w:trPr>
        <w:tc>
          <w:tcPr>
            <w:tcW w:w="644"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ind w:firstLine="482"/>
              <w:jc w:val="left"/>
              <w:rPr>
                <w:rFonts w:hint="eastAsia" w:ascii="仿宋" w:hAnsi="仿宋" w:eastAsia="仿宋" w:cs="仿宋"/>
                <w:bCs/>
                <w:sz w:val="24"/>
              </w:rPr>
            </w:pPr>
          </w:p>
        </w:tc>
        <w:tc>
          <w:tcPr>
            <w:tcW w:w="2880" w:type="dxa"/>
            <w:tcBorders>
              <w:top w:val="single" w:color="auto" w:sz="4" w:space="0"/>
              <w:left w:val="single" w:color="auto" w:sz="4" w:space="0"/>
              <w:bottom w:val="single" w:color="auto" w:sz="4" w:space="0"/>
              <w:right w:val="single" w:color="auto" w:sz="4"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监管实施时间</w:t>
            </w:r>
          </w:p>
        </w:tc>
        <w:tc>
          <w:tcPr>
            <w:tcW w:w="5577" w:type="dxa"/>
            <w:tcBorders>
              <w:top w:val="single" w:color="auto" w:sz="4" w:space="0"/>
              <w:left w:val="single" w:color="auto" w:sz="4" w:space="0"/>
              <w:bottom w:val="single" w:color="auto" w:sz="4" w:space="0"/>
              <w:right w:val="single" w:color="auto" w:sz="4"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年   月   日至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40" w:hRule="atLeast"/>
          <w:jc w:val="center"/>
        </w:trPr>
        <w:tc>
          <w:tcPr>
            <w:tcW w:w="644"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ind w:firstLine="482"/>
              <w:jc w:val="left"/>
              <w:rPr>
                <w:rFonts w:hint="eastAsia" w:ascii="仿宋" w:hAnsi="仿宋" w:eastAsia="仿宋" w:cs="仿宋"/>
                <w:bCs/>
                <w:sz w:val="24"/>
              </w:rPr>
            </w:pPr>
          </w:p>
        </w:tc>
        <w:tc>
          <w:tcPr>
            <w:tcW w:w="2880" w:type="dxa"/>
            <w:tcBorders>
              <w:top w:val="single" w:color="auto" w:sz="4" w:space="0"/>
              <w:left w:val="single" w:color="auto" w:sz="4" w:space="0"/>
              <w:bottom w:val="single" w:color="auto" w:sz="4" w:space="0"/>
              <w:right w:val="single" w:color="auto" w:sz="4"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监管人员</w:t>
            </w:r>
          </w:p>
        </w:tc>
        <w:tc>
          <w:tcPr>
            <w:tcW w:w="5577" w:type="dxa"/>
            <w:tcBorders>
              <w:top w:val="single" w:color="auto" w:sz="4" w:space="0"/>
              <w:left w:val="single" w:color="auto" w:sz="4" w:space="0"/>
              <w:bottom w:val="single" w:color="auto" w:sz="4" w:space="0"/>
              <w:right w:val="single" w:color="auto" w:sz="4" w:space="0"/>
            </w:tcBorders>
          </w:tcPr>
          <w:p>
            <w:pPr>
              <w:spacing w:after="160" w:line="276" w:lineRule="auto"/>
              <w:ind w:firstLine="482"/>
              <w:rPr>
                <w:rFonts w:hint="eastAsia" w:ascii="仿宋" w:hAnsi="仿宋" w:eastAsia="仿宋" w:cs="仿宋"/>
                <w:bCs/>
                <w:sz w:val="24"/>
              </w:rPr>
            </w:pPr>
            <w:r>
              <w:rPr>
                <w:rFonts w:hint="eastAsia" w:ascii="仿宋" w:hAnsi="仿宋" w:eastAsia="仿宋" w:cs="仿宋"/>
                <w:bCs/>
                <w:sz w:val="24"/>
              </w:rPr>
              <w:t xml:space="preserve">  监管组组长：</w:t>
            </w:r>
          </w:p>
          <w:p>
            <w:pPr>
              <w:spacing w:after="160" w:line="276" w:lineRule="auto"/>
              <w:ind w:firstLine="482"/>
              <w:rPr>
                <w:rFonts w:hint="eastAsia" w:ascii="仿宋" w:hAnsi="仿宋" w:eastAsia="仿宋" w:cs="仿宋"/>
                <w:bCs/>
                <w:sz w:val="24"/>
              </w:rPr>
            </w:pPr>
            <w:r>
              <w:rPr>
                <w:rFonts w:hint="eastAsia" w:ascii="仿宋" w:hAnsi="仿宋" w:eastAsia="仿宋" w:cs="仿宋"/>
                <w:bCs/>
                <w:sz w:val="24"/>
              </w:rPr>
              <w:t xml:space="preserve">  监管组成员：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40" w:hRule="atLeast"/>
          <w:jc w:val="center"/>
        </w:trPr>
        <w:tc>
          <w:tcPr>
            <w:tcW w:w="644"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ind w:firstLine="482"/>
              <w:jc w:val="left"/>
              <w:rPr>
                <w:rFonts w:hint="eastAsia" w:ascii="仿宋" w:hAnsi="仿宋" w:eastAsia="仿宋" w:cs="仿宋"/>
                <w:bCs/>
                <w:sz w:val="24"/>
              </w:rPr>
            </w:pPr>
          </w:p>
        </w:tc>
        <w:tc>
          <w:tcPr>
            <w:tcW w:w="2880" w:type="dxa"/>
            <w:tcBorders>
              <w:top w:val="single" w:color="auto" w:sz="4" w:space="0"/>
              <w:left w:val="single" w:color="auto" w:sz="4" w:space="0"/>
              <w:bottom w:val="single" w:color="auto" w:sz="4" w:space="0"/>
              <w:right w:val="single" w:color="auto" w:sz="4"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备注</w:t>
            </w:r>
          </w:p>
        </w:tc>
        <w:tc>
          <w:tcPr>
            <w:tcW w:w="5577" w:type="dxa"/>
            <w:tcBorders>
              <w:top w:val="single" w:color="auto" w:sz="4" w:space="0"/>
              <w:left w:val="single" w:color="auto" w:sz="4" w:space="0"/>
              <w:bottom w:val="single" w:color="auto" w:sz="4" w:space="0"/>
              <w:right w:val="single" w:color="auto" w:sz="4" w:space="0"/>
            </w:tcBorders>
          </w:tcPr>
          <w:p>
            <w:pPr>
              <w:spacing w:after="160" w:line="276" w:lineRule="auto"/>
              <w:ind w:firstLine="482"/>
              <w:rPr>
                <w:rFonts w:hint="eastAsia" w:ascii="仿宋" w:hAnsi="仿宋" w:eastAsia="仿宋" w:cs="仿宋"/>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134" w:hRule="atLeast"/>
          <w:jc w:val="center"/>
        </w:trPr>
        <w:tc>
          <w:tcPr>
            <w:tcW w:w="644" w:type="dxa"/>
            <w:vMerge w:val="restart"/>
            <w:tcBorders>
              <w:top w:val="single" w:color="auto" w:sz="4" w:space="0"/>
              <w:left w:val="single" w:color="auto" w:sz="4" w:space="0"/>
              <w:bottom w:val="single" w:color="auto" w:sz="4" w:space="0"/>
              <w:right w:val="single" w:color="auto" w:sz="4" w:space="0"/>
            </w:tcBorders>
            <w:textDirection w:val="tbRlV"/>
            <w:vAlign w:val="center"/>
          </w:tcPr>
          <w:p>
            <w:pPr>
              <w:spacing w:after="160" w:line="276" w:lineRule="auto"/>
              <w:ind w:left="113" w:right="113" w:firstLine="482"/>
              <w:jc w:val="center"/>
              <w:rPr>
                <w:rFonts w:hint="eastAsia" w:ascii="仿宋" w:hAnsi="仿宋" w:eastAsia="仿宋" w:cs="仿宋"/>
                <w:bCs/>
                <w:sz w:val="24"/>
              </w:rPr>
            </w:pPr>
            <w:r>
              <w:rPr>
                <w:rFonts w:hint="eastAsia" w:ascii="仿宋" w:hAnsi="仿宋" w:eastAsia="仿宋" w:cs="仿宋"/>
                <w:bCs/>
                <w:sz w:val="24"/>
              </w:rPr>
              <w:t>审批情况</w:t>
            </w:r>
          </w:p>
        </w:tc>
        <w:tc>
          <w:tcPr>
            <w:tcW w:w="2880" w:type="dxa"/>
            <w:tcBorders>
              <w:top w:val="single" w:color="auto" w:sz="4" w:space="0"/>
              <w:left w:val="single" w:color="auto" w:sz="4" w:space="0"/>
              <w:bottom w:val="single" w:color="auto" w:sz="4" w:space="0"/>
              <w:right w:val="single" w:color="auto" w:sz="4"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部门负责人</w:t>
            </w:r>
          </w:p>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签字</w:t>
            </w:r>
          </w:p>
        </w:tc>
        <w:tc>
          <w:tcPr>
            <w:tcW w:w="5577" w:type="dxa"/>
            <w:tcBorders>
              <w:top w:val="single" w:color="auto" w:sz="4" w:space="0"/>
              <w:left w:val="single" w:color="auto" w:sz="4" w:space="0"/>
              <w:bottom w:val="single" w:color="auto" w:sz="4" w:space="0"/>
              <w:right w:val="single" w:color="auto" w:sz="4" w:space="0"/>
            </w:tcBorders>
          </w:tcPr>
          <w:p>
            <w:pPr>
              <w:spacing w:after="160" w:line="276" w:lineRule="auto"/>
              <w:ind w:firstLine="482"/>
              <w:jc w:val="center"/>
              <w:rPr>
                <w:rFonts w:hint="eastAsia" w:ascii="仿宋" w:hAnsi="仿宋" w:eastAsia="仿宋" w:cs="仿宋"/>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134" w:hRule="atLeast"/>
          <w:jc w:val="center"/>
        </w:trPr>
        <w:tc>
          <w:tcPr>
            <w:tcW w:w="644"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160" w:line="276" w:lineRule="auto"/>
              <w:ind w:firstLine="482"/>
              <w:jc w:val="left"/>
              <w:rPr>
                <w:rFonts w:hint="eastAsia" w:ascii="仿宋" w:hAnsi="仿宋" w:eastAsia="仿宋" w:cs="仿宋"/>
                <w:bCs/>
                <w:sz w:val="24"/>
              </w:rPr>
            </w:pPr>
          </w:p>
        </w:tc>
        <w:tc>
          <w:tcPr>
            <w:tcW w:w="2880" w:type="dxa"/>
            <w:tcBorders>
              <w:top w:val="single" w:color="auto" w:sz="4" w:space="0"/>
              <w:left w:val="single" w:color="auto" w:sz="4" w:space="0"/>
              <w:bottom w:val="single" w:color="auto" w:sz="4" w:space="0"/>
              <w:right w:val="single" w:color="auto" w:sz="4"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行（营业管理部）领导</w:t>
            </w:r>
          </w:p>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审批签字</w:t>
            </w:r>
          </w:p>
        </w:tc>
        <w:tc>
          <w:tcPr>
            <w:tcW w:w="5577" w:type="dxa"/>
            <w:tcBorders>
              <w:top w:val="single" w:color="auto" w:sz="4" w:space="0"/>
              <w:left w:val="single" w:color="auto" w:sz="4" w:space="0"/>
              <w:bottom w:val="single" w:color="auto" w:sz="4" w:space="0"/>
              <w:right w:val="single" w:color="auto" w:sz="4" w:space="0"/>
            </w:tcBorders>
          </w:tcPr>
          <w:p>
            <w:pPr>
              <w:spacing w:after="160" w:line="276" w:lineRule="auto"/>
              <w:ind w:firstLine="482"/>
              <w:jc w:val="center"/>
              <w:rPr>
                <w:rFonts w:hint="eastAsia" w:ascii="仿宋" w:hAnsi="仿宋" w:eastAsia="仿宋" w:cs="仿宋"/>
                <w:bCs/>
                <w:sz w:val="24"/>
              </w:rPr>
            </w:pPr>
          </w:p>
        </w:tc>
      </w:tr>
    </w:tbl>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640" w:firstLineChars="200"/>
        <w:rPr>
          <w:rFonts w:hint="eastAsia" w:ascii="仿宋" w:hAnsi="仿宋" w:eastAsia="仿宋" w:cs="仿宋"/>
        </w:rPr>
      </w:pPr>
      <w:r>
        <w:rPr>
          <w:rFonts w:hint="eastAsia" w:ascii="仿宋" w:hAnsi="仿宋" w:eastAsia="仿宋" w:cs="仿宋"/>
          <w:sz w:val="32"/>
        </w:rPr>
        <w:br w:type="page"/>
      </w:r>
      <w:r>
        <w:rPr>
          <w:rFonts w:hint="eastAsia" w:ascii="仿宋" w:hAnsi="仿宋" w:eastAsia="仿宋" w:cs="仿宋"/>
        </w:rPr>
        <w:t>附2</w:t>
      </w:r>
    </w:p>
    <w:p>
      <w:pPr>
        <w:rPr>
          <w:rFonts w:hint="eastAsia" w:ascii="仿宋" w:hAnsi="仿宋" w:eastAsia="仿宋" w:cs="仿宋"/>
          <w:szCs w:val="20"/>
        </w:rPr>
      </w:pPr>
    </w:p>
    <w:p>
      <w:pPr>
        <w:adjustRightInd w:val="0"/>
        <w:snapToGrid w:val="0"/>
        <w:spacing w:line="720" w:lineRule="exact"/>
        <w:ind w:firstLine="883"/>
        <w:jc w:val="center"/>
        <w:rPr>
          <w:rFonts w:hint="eastAsia" w:ascii="仿宋" w:hAnsi="仿宋" w:eastAsia="仿宋" w:cs="仿宋"/>
          <w:sz w:val="44"/>
          <w:szCs w:val="18"/>
        </w:rPr>
      </w:pPr>
      <w:r>
        <w:rPr>
          <w:rFonts w:hint="eastAsia" w:ascii="仿宋" w:hAnsi="仿宋" w:eastAsia="仿宋" w:cs="仿宋"/>
          <w:sz w:val="44"/>
          <w:szCs w:val="18"/>
        </w:rPr>
        <w:t>中国人民银行     行（营业管理部）</w:t>
      </w:r>
    </w:p>
    <w:p>
      <w:pPr>
        <w:adjustRightInd w:val="0"/>
        <w:snapToGrid w:val="0"/>
        <w:spacing w:line="720" w:lineRule="exact"/>
        <w:ind w:firstLine="883"/>
        <w:jc w:val="center"/>
        <w:rPr>
          <w:rFonts w:hint="eastAsia" w:ascii="仿宋" w:hAnsi="仿宋" w:eastAsia="仿宋" w:cs="仿宋"/>
          <w:sz w:val="44"/>
          <w:szCs w:val="18"/>
        </w:rPr>
      </w:pPr>
      <w:r>
        <w:rPr>
          <w:rFonts w:hint="eastAsia" w:ascii="仿宋" w:hAnsi="仿宋" w:eastAsia="仿宋" w:cs="仿宋"/>
          <w:sz w:val="44"/>
          <w:szCs w:val="18"/>
        </w:rPr>
        <w:t>反洗钱监管通知书</w:t>
      </w:r>
    </w:p>
    <w:p>
      <w:pPr>
        <w:adjustRightInd w:val="0"/>
        <w:snapToGrid w:val="0"/>
        <w:spacing w:line="288" w:lineRule="auto"/>
        <w:ind w:firstLine="602"/>
        <w:jc w:val="center"/>
        <w:rPr>
          <w:rFonts w:hint="eastAsia" w:ascii="仿宋" w:hAnsi="仿宋" w:eastAsia="仿宋" w:cs="仿宋"/>
          <w:sz w:val="30"/>
          <w:szCs w:val="18"/>
        </w:rPr>
      </w:pPr>
    </w:p>
    <w:p>
      <w:pPr>
        <w:adjustRightInd w:val="0"/>
        <w:snapToGrid w:val="0"/>
        <w:spacing w:line="288" w:lineRule="auto"/>
        <w:ind w:firstLine="602"/>
        <w:jc w:val="center"/>
        <w:rPr>
          <w:rFonts w:hint="eastAsia" w:ascii="仿宋" w:hAnsi="仿宋" w:eastAsia="仿宋" w:cs="仿宋"/>
          <w:sz w:val="30"/>
          <w:szCs w:val="18"/>
        </w:rPr>
      </w:pPr>
      <w:r>
        <w:rPr>
          <w:rFonts w:hint="eastAsia" w:ascii="仿宋" w:hAnsi="仿宋" w:eastAsia="仿宋" w:cs="仿宋"/>
          <w:sz w:val="30"/>
          <w:szCs w:val="18"/>
        </w:rPr>
        <w:t>反洗钱</w:t>
      </w:r>
      <w:r>
        <w:rPr>
          <w:rFonts w:hint="eastAsia" w:ascii="仿宋" w:hAnsi="仿宋" w:eastAsia="仿宋" w:cs="仿宋"/>
          <w:sz w:val="30"/>
          <w:szCs w:val="18"/>
          <w:u w:val="single"/>
        </w:rPr>
        <w:t xml:space="preserve">    </w:t>
      </w:r>
      <w:r>
        <w:rPr>
          <w:rFonts w:hint="eastAsia" w:ascii="仿宋" w:hAnsi="仿宋" w:eastAsia="仿宋" w:cs="仿宋"/>
          <w:bCs/>
          <w:sz w:val="30"/>
        </w:rPr>
        <w:t xml:space="preserve">〔〕   </w:t>
      </w:r>
      <w:r>
        <w:rPr>
          <w:rFonts w:hint="eastAsia" w:ascii="仿宋" w:hAnsi="仿宋" w:eastAsia="仿宋" w:cs="仿宋"/>
          <w:sz w:val="30"/>
          <w:szCs w:val="18"/>
        </w:rPr>
        <w:t>号</w:t>
      </w:r>
    </w:p>
    <w:p>
      <w:pPr>
        <w:adjustRightInd w:val="0"/>
        <w:snapToGrid w:val="0"/>
        <w:spacing w:line="264" w:lineRule="auto"/>
        <w:ind w:firstLine="602"/>
        <w:rPr>
          <w:rFonts w:hint="eastAsia" w:ascii="仿宋" w:hAnsi="仿宋" w:eastAsia="仿宋" w:cs="仿宋"/>
          <w:sz w:val="30"/>
          <w:szCs w:val="18"/>
        </w:rPr>
      </w:pPr>
      <w:r>
        <w:rPr>
          <w:rFonts w:hint="eastAsia" w:ascii="仿宋" w:hAnsi="仿宋" w:eastAsia="仿宋" w:cs="仿宋"/>
          <w:sz w:val="30"/>
          <w:szCs w:val="18"/>
        </w:rPr>
        <w:t>=======================================================</w:t>
      </w:r>
    </w:p>
    <w:p>
      <w:pPr>
        <w:adjustRightInd w:val="0"/>
        <w:snapToGrid w:val="0"/>
        <w:spacing w:line="264" w:lineRule="auto"/>
        <w:ind w:firstLine="361"/>
        <w:rPr>
          <w:rFonts w:hint="eastAsia" w:ascii="仿宋" w:hAnsi="仿宋" w:eastAsia="仿宋" w:cs="仿宋"/>
          <w:sz w:val="18"/>
          <w:szCs w:val="18"/>
        </w:rPr>
      </w:pPr>
    </w:p>
    <w:p>
      <w:pPr>
        <w:adjustRightInd w:val="0"/>
        <w:snapToGrid w:val="0"/>
        <w:spacing w:line="264" w:lineRule="auto"/>
        <w:ind w:firstLine="602"/>
        <w:rPr>
          <w:rFonts w:hint="eastAsia" w:ascii="仿宋" w:hAnsi="仿宋" w:eastAsia="仿宋" w:cs="仿宋"/>
          <w:sz w:val="30"/>
          <w:szCs w:val="18"/>
        </w:rPr>
      </w:pPr>
      <w:r>
        <w:rPr>
          <w:rFonts w:hint="eastAsia" w:ascii="仿宋" w:hAnsi="仿宋" w:eastAsia="仿宋" w:cs="仿宋"/>
          <w:sz w:val="30"/>
          <w:szCs w:val="18"/>
        </w:rPr>
        <w:t>（监管对象名称）：</w:t>
      </w:r>
    </w:p>
    <w:p>
      <w:pPr>
        <w:ind w:firstLine="600" w:firstLineChars="200"/>
        <w:rPr>
          <w:rFonts w:hint="eastAsia" w:ascii="仿宋" w:hAnsi="仿宋" w:eastAsia="仿宋" w:cs="仿宋"/>
          <w:sz w:val="30"/>
          <w:szCs w:val="18"/>
        </w:rPr>
      </w:pPr>
      <w:r>
        <w:rPr>
          <w:rFonts w:hint="eastAsia" w:ascii="仿宋" w:hAnsi="仿宋" w:eastAsia="仿宋" w:cs="仿宋"/>
          <w:sz w:val="30"/>
          <w:szCs w:val="18"/>
        </w:rPr>
        <w:t>依据《中华人民共和国反洗钱法》《中华人民共和国中国人民银行法》</w:t>
      </w:r>
      <w:r>
        <w:rPr>
          <w:rFonts w:hint="eastAsia" w:ascii="仿宋" w:hAnsi="仿宋" w:eastAsia="仿宋" w:cs="仿宋"/>
          <w:sz w:val="28"/>
          <w:u w:val="single"/>
        </w:rPr>
        <w:t xml:space="preserve">              </w:t>
      </w:r>
      <w:r>
        <w:rPr>
          <w:rFonts w:hint="eastAsia" w:ascii="仿宋" w:hAnsi="仿宋" w:eastAsia="仿宋" w:cs="仿宋"/>
          <w:sz w:val="28"/>
        </w:rPr>
        <w:t>等</w:t>
      </w:r>
      <w:r>
        <w:rPr>
          <w:rFonts w:hint="eastAsia" w:ascii="仿宋" w:hAnsi="仿宋" w:eastAsia="仿宋" w:cs="仿宋"/>
          <w:sz w:val="30"/>
          <w:szCs w:val="18"/>
        </w:rPr>
        <w:t>法律法规，我行（营业管理部）对你单位实施反洗钱监管，现将有关事项通知如下：</w:t>
      </w:r>
    </w:p>
    <w:p>
      <w:pPr>
        <w:adjustRightInd w:val="0"/>
        <w:snapToGrid w:val="0"/>
        <w:spacing w:line="264" w:lineRule="auto"/>
        <w:ind w:left="2925" w:leftChars="257" w:hanging="2385" w:hangingChars="795"/>
        <w:rPr>
          <w:rFonts w:hint="eastAsia" w:ascii="仿宋" w:hAnsi="仿宋" w:eastAsia="仿宋" w:cs="仿宋"/>
          <w:bCs/>
          <w:sz w:val="28"/>
          <w:szCs w:val="20"/>
        </w:rPr>
      </w:pPr>
      <w:r>
        <w:rPr>
          <w:rFonts w:hint="eastAsia" w:ascii="仿宋" w:hAnsi="仿宋" w:eastAsia="仿宋" w:cs="仿宋"/>
          <w:sz w:val="30"/>
          <w:szCs w:val="18"/>
        </w:rPr>
        <w:t>监管方式：约见谈话</w:t>
      </w:r>
      <w:r>
        <w:rPr>
          <w:rFonts w:hint="eastAsia" w:ascii="仿宋" w:hAnsi="仿宋" w:eastAsia="仿宋" w:cs="仿宋"/>
          <w:bCs/>
          <w:sz w:val="28"/>
        </w:rPr>
        <w:t xml:space="preserve">□ </w:t>
      </w:r>
      <w:r>
        <w:rPr>
          <w:rFonts w:hint="eastAsia" w:ascii="仿宋" w:hAnsi="仿宋" w:eastAsia="仿宋" w:cs="仿宋"/>
          <w:sz w:val="30"/>
          <w:szCs w:val="18"/>
        </w:rPr>
        <w:t xml:space="preserve"> </w:t>
      </w:r>
      <w:r>
        <w:rPr>
          <w:rFonts w:hint="eastAsia" w:ascii="仿宋" w:hAnsi="仿宋" w:eastAsia="仿宋" w:cs="仿宋"/>
          <w:bCs/>
          <w:sz w:val="28"/>
        </w:rPr>
        <w:t>监管走访□  现场</w:t>
      </w:r>
      <w:r>
        <w:rPr>
          <w:rFonts w:hint="eastAsia" w:ascii="仿宋" w:hAnsi="仿宋" w:eastAsia="仿宋" w:cs="仿宋"/>
          <w:sz w:val="30"/>
          <w:szCs w:val="18"/>
        </w:rPr>
        <w:t>风险评估□</w:t>
      </w:r>
    </w:p>
    <w:p>
      <w:pPr>
        <w:adjustRightInd w:val="0"/>
        <w:snapToGrid w:val="0"/>
        <w:spacing w:line="264" w:lineRule="auto"/>
        <w:ind w:firstLine="540" w:firstLineChars="300"/>
        <w:rPr>
          <w:rFonts w:hint="eastAsia" w:ascii="仿宋" w:hAnsi="仿宋" w:eastAsia="仿宋" w:cs="仿宋"/>
          <w:sz w:val="30"/>
          <w:szCs w:val="18"/>
        </w:rPr>
      </w:pPr>
      <w:r>
        <w:rPr>
          <w:rFonts w:hint="eastAsia" w:ascii="仿宋" w:hAnsi="仿宋" w:eastAsia="仿宋" w:cs="仿宋"/>
          <w:bCs/>
          <w:sz w:val="18"/>
        </w:rPr>
        <w:t xml:space="preserve">（在对应项后打√）        </w:t>
      </w:r>
    </w:p>
    <w:p>
      <w:pPr>
        <w:adjustRightInd w:val="0"/>
        <w:snapToGrid w:val="0"/>
        <w:spacing w:line="264" w:lineRule="auto"/>
        <w:ind w:firstLine="600" w:firstLineChars="200"/>
        <w:rPr>
          <w:rFonts w:hint="eastAsia" w:ascii="仿宋" w:hAnsi="仿宋" w:eastAsia="仿宋" w:cs="仿宋"/>
          <w:sz w:val="30"/>
          <w:szCs w:val="18"/>
        </w:rPr>
      </w:pPr>
      <w:r>
        <w:rPr>
          <w:rFonts w:hint="eastAsia" w:ascii="仿宋" w:hAnsi="仿宋" w:eastAsia="仿宋" w:cs="仿宋"/>
          <w:sz w:val="30"/>
          <w:szCs w:val="18"/>
        </w:rPr>
        <w:t>监管内容：</w:t>
      </w:r>
    </w:p>
    <w:p>
      <w:pPr>
        <w:adjustRightInd w:val="0"/>
        <w:snapToGrid w:val="0"/>
        <w:spacing w:line="264" w:lineRule="auto"/>
        <w:ind w:firstLine="600" w:firstLineChars="200"/>
        <w:rPr>
          <w:rFonts w:hint="eastAsia" w:ascii="仿宋" w:hAnsi="仿宋" w:eastAsia="仿宋" w:cs="仿宋"/>
          <w:sz w:val="30"/>
          <w:szCs w:val="18"/>
        </w:rPr>
      </w:pPr>
      <w:r>
        <w:rPr>
          <w:rFonts w:hint="eastAsia" w:ascii="仿宋" w:hAnsi="仿宋" w:eastAsia="仿宋" w:cs="仿宋"/>
          <w:sz w:val="30"/>
          <w:szCs w:val="18"/>
        </w:rPr>
        <w:t>监管期限：</w:t>
      </w:r>
    </w:p>
    <w:p>
      <w:pPr>
        <w:adjustRightInd w:val="0"/>
        <w:snapToGrid w:val="0"/>
        <w:spacing w:line="264" w:lineRule="auto"/>
        <w:ind w:firstLine="600" w:firstLineChars="200"/>
        <w:rPr>
          <w:rFonts w:hint="eastAsia" w:ascii="仿宋" w:hAnsi="仿宋" w:eastAsia="仿宋" w:cs="仿宋"/>
          <w:sz w:val="30"/>
          <w:szCs w:val="18"/>
        </w:rPr>
      </w:pPr>
      <w:r>
        <w:rPr>
          <w:rFonts w:hint="eastAsia" w:ascii="仿宋" w:hAnsi="仿宋" w:eastAsia="仿宋" w:cs="仿宋"/>
          <w:sz w:val="30"/>
          <w:szCs w:val="18"/>
        </w:rPr>
        <w:t>监管实施时间：    年   月   日至   年   月   日</w:t>
      </w:r>
    </w:p>
    <w:p>
      <w:pPr>
        <w:adjustRightInd w:val="0"/>
        <w:snapToGrid w:val="0"/>
        <w:spacing w:line="264" w:lineRule="auto"/>
        <w:ind w:firstLine="600" w:firstLineChars="200"/>
        <w:rPr>
          <w:rFonts w:hint="eastAsia" w:ascii="仿宋" w:hAnsi="仿宋" w:eastAsia="仿宋" w:cs="仿宋"/>
          <w:sz w:val="30"/>
          <w:szCs w:val="18"/>
        </w:rPr>
      </w:pPr>
      <w:r>
        <w:rPr>
          <w:rFonts w:hint="eastAsia" w:ascii="仿宋" w:hAnsi="仿宋" w:eastAsia="仿宋" w:cs="仿宋"/>
          <w:sz w:val="30"/>
          <w:szCs w:val="18"/>
        </w:rPr>
        <w:t>监管组组长：</w:t>
      </w:r>
    </w:p>
    <w:p>
      <w:pPr>
        <w:adjustRightInd w:val="0"/>
        <w:snapToGrid w:val="0"/>
        <w:spacing w:line="264" w:lineRule="auto"/>
        <w:ind w:firstLine="600" w:firstLineChars="200"/>
        <w:rPr>
          <w:rFonts w:hint="eastAsia" w:ascii="仿宋" w:hAnsi="仿宋" w:eastAsia="仿宋" w:cs="仿宋"/>
          <w:sz w:val="30"/>
          <w:szCs w:val="18"/>
        </w:rPr>
      </w:pPr>
      <w:r>
        <w:rPr>
          <w:rFonts w:hint="eastAsia" w:ascii="仿宋" w:hAnsi="仿宋" w:eastAsia="仿宋" w:cs="仿宋"/>
          <w:sz w:val="30"/>
          <w:szCs w:val="18"/>
        </w:rPr>
        <w:t>监管组成员：</w:t>
      </w:r>
    </w:p>
    <w:p>
      <w:pPr>
        <w:adjustRightInd w:val="0"/>
        <w:snapToGrid w:val="0"/>
        <w:spacing w:line="264" w:lineRule="auto"/>
        <w:ind w:firstLine="600" w:firstLineChars="200"/>
        <w:rPr>
          <w:rFonts w:hint="eastAsia" w:ascii="仿宋" w:hAnsi="仿宋" w:eastAsia="仿宋" w:cs="仿宋"/>
          <w:sz w:val="30"/>
          <w:szCs w:val="18"/>
        </w:rPr>
      </w:pPr>
      <w:r>
        <w:rPr>
          <w:rFonts w:hint="eastAsia" w:ascii="仿宋" w:hAnsi="仿宋" w:eastAsia="仿宋" w:cs="仿宋"/>
          <w:sz w:val="30"/>
          <w:szCs w:val="18"/>
        </w:rPr>
        <w:t>所需你单位提供的数据、资料：</w:t>
      </w:r>
    </w:p>
    <w:p>
      <w:pPr>
        <w:adjustRightInd w:val="0"/>
        <w:snapToGrid w:val="0"/>
        <w:spacing w:line="264" w:lineRule="auto"/>
        <w:ind w:firstLine="600" w:firstLineChars="200"/>
        <w:rPr>
          <w:rFonts w:hint="eastAsia" w:ascii="仿宋" w:hAnsi="仿宋" w:eastAsia="仿宋" w:cs="仿宋"/>
          <w:sz w:val="30"/>
          <w:szCs w:val="18"/>
        </w:rPr>
      </w:pPr>
      <w:r>
        <w:rPr>
          <w:rFonts w:hint="eastAsia" w:ascii="仿宋" w:hAnsi="仿宋" w:eastAsia="仿宋" w:cs="仿宋"/>
          <w:sz w:val="30"/>
          <w:szCs w:val="18"/>
        </w:rPr>
        <w:t>请你单位配合监管工作，并提供必要的工作条件。</w:t>
      </w:r>
    </w:p>
    <w:p>
      <w:pPr>
        <w:adjustRightInd w:val="0"/>
        <w:snapToGrid w:val="0"/>
        <w:spacing w:line="264" w:lineRule="auto"/>
        <w:ind w:left="560" w:firstLine="602"/>
        <w:rPr>
          <w:rFonts w:hint="eastAsia" w:ascii="仿宋" w:hAnsi="仿宋" w:eastAsia="仿宋" w:cs="仿宋"/>
          <w:sz w:val="30"/>
          <w:szCs w:val="18"/>
        </w:rPr>
      </w:pPr>
    </w:p>
    <w:p>
      <w:pPr>
        <w:adjustRightInd w:val="0"/>
        <w:snapToGrid w:val="0"/>
        <w:spacing w:line="264" w:lineRule="auto"/>
        <w:ind w:left="560" w:firstLine="602"/>
        <w:rPr>
          <w:rFonts w:hint="eastAsia" w:ascii="仿宋" w:hAnsi="仿宋" w:eastAsia="仿宋" w:cs="仿宋"/>
          <w:sz w:val="30"/>
          <w:szCs w:val="18"/>
        </w:rPr>
      </w:pPr>
    </w:p>
    <w:p>
      <w:pPr>
        <w:adjustRightInd w:val="0"/>
        <w:snapToGrid w:val="0"/>
        <w:spacing w:line="264" w:lineRule="auto"/>
        <w:ind w:left="560" w:firstLine="602"/>
        <w:rPr>
          <w:rFonts w:hint="eastAsia" w:ascii="仿宋" w:hAnsi="仿宋" w:eastAsia="仿宋" w:cs="仿宋"/>
          <w:sz w:val="30"/>
          <w:szCs w:val="18"/>
        </w:rPr>
      </w:pPr>
    </w:p>
    <w:p>
      <w:pPr>
        <w:adjustRightInd w:val="0"/>
        <w:snapToGrid w:val="0"/>
        <w:spacing w:line="264" w:lineRule="auto"/>
        <w:ind w:left="560" w:firstLine="602"/>
        <w:rPr>
          <w:rFonts w:hint="eastAsia" w:ascii="仿宋" w:hAnsi="仿宋" w:eastAsia="仿宋" w:cs="仿宋"/>
          <w:sz w:val="30"/>
          <w:szCs w:val="18"/>
        </w:rPr>
      </w:pPr>
    </w:p>
    <w:p>
      <w:pPr>
        <w:adjustRightInd w:val="0"/>
        <w:snapToGrid w:val="0"/>
        <w:spacing w:line="264" w:lineRule="auto"/>
        <w:ind w:left="561" w:leftChars="267" w:firstLine="6039" w:firstLineChars="2013"/>
        <w:rPr>
          <w:rFonts w:hint="eastAsia" w:ascii="仿宋" w:hAnsi="仿宋" w:eastAsia="仿宋" w:cs="仿宋"/>
          <w:sz w:val="30"/>
          <w:szCs w:val="18"/>
        </w:rPr>
      </w:pPr>
      <w:r>
        <w:rPr>
          <w:rFonts w:hint="eastAsia" w:ascii="仿宋" w:hAnsi="仿宋" w:eastAsia="仿宋" w:cs="仿宋"/>
          <w:sz w:val="30"/>
          <w:szCs w:val="18"/>
        </w:rPr>
        <w:t>（公章）</w:t>
      </w:r>
    </w:p>
    <w:p>
      <w:pPr>
        <w:adjustRightInd w:val="0"/>
        <w:snapToGrid w:val="0"/>
        <w:spacing w:line="264" w:lineRule="auto"/>
        <w:ind w:left="560" w:firstLine="602"/>
        <w:rPr>
          <w:rFonts w:hint="eastAsia" w:ascii="仿宋" w:hAnsi="仿宋" w:eastAsia="仿宋" w:cs="仿宋"/>
          <w:sz w:val="30"/>
          <w:szCs w:val="18"/>
        </w:rPr>
      </w:pPr>
      <w:r>
        <w:rPr>
          <w:rFonts w:hint="eastAsia" w:ascii="仿宋" w:hAnsi="仿宋" w:eastAsia="仿宋" w:cs="仿宋"/>
          <w:sz w:val="30"/>
          <w:szCs w:val="18"/>
        </w:rPr>
        <w:t>年    月    日</w:t>
      </w:r>
    </w:p>
    <w:p>
      <w:pPr>
        <w:adjustRightInd w:val="0"/>
        <w:snapToGrid w:val="0"/>
        <w:spacing w:line="264" w:lineRule="auto"/>
        <w:ind w:firstLine="602"/>
        <w:rPr>
          <w:rFonts w:hint="eastAsia" w:ascii="仿宋" w:hAnsi="仿宋" w:eastAsia="仿宋" w:cs="仿宋"/>
          <w:sz w:val="30"/>
          <w:szCs w:val="18"/>
        </w:rPr>
      </w:pPr>
    </w:p>
    <w:p>
      <w:pPr>
        <w:adjustRightInd w:val="0"/>
        <w:snapToGrid w:val="0"/>
        <w:spacing w:line="264" w:lineRule="auto"/>
        <w:ind w:firstLine="602"/>
        <w:rPr>
          <w:rFonts w:hint="eastAsia" w:ascii="仿宋" w:hAnsi="仿宋" w:eastAsia="仿宋" w:cs="仿宋"/>
          <w:sz w:val="30"/>
          <w:szCs w:val="18"/>
        </w:rPr>
      </w:pPr>
    </w:p>
    <w:p>
      <w:pPr>
        <w:rPr>
          <w:rFonts w:hint="eastAsia" w:ascii="仿宋" w:hAnsi="仿宋" w:eastAsia="仿宋" w:cs="仿宋"/>
          <w:szCs w:val="18"/>
        </w:rPr>
      </w:pPr>
      <w:r>
        <w:rPr>
          <w:rFonts w:hint="eastAsia" w:ascii="仿宋" w:hAnsi="仿宋" w:eastAsia="仿宋" w:cs="仿宋"/>
          <w:szCs w:val="18"/>
        </w:rPr>
        <w:t>备注：本通知书一式两份，监管机构一份，监管对象一份。</w:t>
      </w:r>
    </w:p>
    <w:p>
      <w:pPr>
        <w:rPr>
          <w:rFonts w:hint="eastAsia" w:ascii="仿宋" w:hAnsi="仿宋" w:eastAsia="仿宋" w:cs="仿宋"/>
          <w:sz w:val="32"/>
          <w:szCs w:val="20"/>
        </w:rPr>
      </w:pPr>
      <w:r>
        <w:rPr>
          <w:rFonts w:hint="eastAsia" w:ascii="仿宋" w:hAnsi="仿宋" w:eastAsia="仿宋" w:cs="仿宋"/>
          <w:szCs w:val="18"/>
        </w:rPr>
        <w:br w:type="page"/>
      </w:r>
      <w:r>
        <w:rPr>
          <w:rFonts w:hint="eastAsia" w:ascii="仿宋" w:hAnsi="仿宋" w:eastAsia="仿宋" w:cs="仿宋"/>
          <w:sz w:val="32"/>
        </w:rPr>
        <w:t>附3</w:t>
      </w:r>
    </w:p>
    <w:p>
      <w:pPr>
        <w:ind w:firstLine="643"/>
        <w:rPr>
          <w:rFonts w:hint="eastAsia" w:ascii="仿宋" w:hAnsi="仿宋" w:eastAsia="仿宋" w:cs="仿宋"/>
          <w:sz w:val="32"/>
        </w:rPr>
      </w:pPr>
    </w:p>
    <w:p>
      <w:pPr>
        <w:adjustRightInd w:val="0"/>
        <w:snapToGrid w:val="0"/>
        <w:spacing w:line="720" w:lineRule="exact"/>
        <w:ind w:firstLine="883"/>
        <w:jc w:val="center"/>
        <w:rPr>
          <w:rFonts w:hint="eastAsia" w:ascii="仿宋" w:hAnsi="仿宋" w:eastAsia="仿宋" w:cs="仿宋"/>
          <w:sz w:val="44"/>
          <w:szCs w:val="18"/>
        </w:rPr>
      </w:pPr>
      <w:r>
        <w:rPr>
          <w:rFonts w:hint="eastAsia" w:ascii="仿宋" w:hAnsi="仿宋" w:eastAsia="仿宋" w:cs="仿宋"/>
          <w:sz w:val="44"/>
          <w:szCs w:val="18"/>
        </w:rPr>
        <w:t>中国人民银行     行（营业管理部）</w:t>
      </w:r>
    </w:p>
    <w:p>
      <w:pPr>
        <w:adjustRightInd w:val="0"/>
        <w:snapToGrid w:val="0"/>
        <w:spacing w:line="720" w:lineRule="exact"/>
        <w:ind w:firstLine="883"/>
        <w:jc w:val="center"/>
        <w:rPr>
          <w:rFonts w:hint="eastAsia" w:ascii="仿宋" w:hAnsi="仿宋" w:eastAsia="仿宋" w:cs="仿宋"/>
          <w:sz w:val="44"/>
          <w:szCs w:val="18"/>
        </w:rPr>
      </w:pPr>
      <w:r>
        <w:rPr>
          <w:rFonts w:hint="eastAsia" w:ascii="仿宋" w:hAnsi="仿宋" w:eastAsia="仿宋" w:cs="仿宋"/>
          <w:sz w:val="44"/>
          <w:szCs w:val="18"/>
        </w:rPr>
        <w:t>反洗钱监管意见书</w:t>
      </w:r>
    </w:p>
    <w:p>
      <w:pPr>
        <w:adjustRightInd w:val="0"/>
        <w:snapToGrid w:val="0"/>
        <w:spacing w:line="288" w:lineRule="auto"/>
        <w:ind w:firstLine="602"/>
        <w:jc w:val="center"/>
        <w:rPr>
          <w:rFonts w:hint="eastAsia" w:ascii="仿宋" w:hAnsi="仿宋" w:eastAsia="仿宋" w:cs="仿宋"/>
          <w:sz w:val="30"/>
          <w:szCs w:val="18"/>
        </w:rPr>
      </w:pPr>
    </w:p>
    <w:p>
      <w:pPr>
        <w:adjustRightInd w:val="0"/>
        <w:snapToGrid w:val="0"/>
        <w:spacing w:line="288" w:lineRule="auto"/>
        <w:ind w:firstLine="602"/>
        <w:jc w:val="center"/>
        <w:rPr>
          <w:rFonts w:hint="eastAsia" w:ascii="仿宋" w:hAnsi="仿宋" w:eastAsia="仿宋" w:cs="仿宋"/>
          <w:sz w:val="30"/>
          <w:szCs w:val="18"/>
        </w:rPr>
      </w:pPr>
      <w:r>
        <w:rPr>
          <w:rFonts w:hint="eastAsia" w:ascii="仿宋" w:hAnsi="仿宋" w:eastAsia="仿宋" w:cs="仿宋"/>
          <w:sz w:val="30"/>
          <w:szCs w:val="18"/>
        </w:rPr>
        <w:t>反洗钱</w:t>
      </w:r>
      <w:r>
        <w:rPr>
          <w:rFonts w:hint="eastAsia" w:ascii="仿宋" w:hAnsi="仿宋" w:eastAsia="仿宋" w:cs="仿宋"/>
          <w:sz w:val="30"/>
          <w:szCs w:val="18"/>
          <w:u w:val="single"/>
        </w:rPr>
        <w:t xml:space="preserve">    </w:t>
      </w:r>
      <w:r>
        <w:rPr>
          <w:rFonts w:hint="eastAsia" w:ascii="仿宋" w:hAnsi="仿宋" w:eastAsia="仿宋" w:cs="仿宋"/>
          <w:bCs/>
          <w:sz w:val="30"/>
        </w:rPr>
        <w:t xml:space="preserve">〔〕   </w:t>
      </w:r>
      <w:r>
        <w:rPr>
          <w:rFonts w:hint="eastAsia" w:ascii="仿宋" w:hAnsi="仿宋" w:eastAsia="仿宋" w:cs="仿宋"/>
          <w:sz w:val="30"/>
          <w:szCs w:val="18"/>
        </w:rPr>
        <w:t>号</w:t>
      </w:r>
    </w:p>
    <w:p>
      <w:pPr>
        <w:adjustRightInd w:val="0"/>
        <w:snapToGrid w:val="0"/>
        <w:spacing w:line="264" w:lineRule="auto"/>
        <w:ind w:firstLine="602"/>
        <w:rPr>
          <w:rFonts w:hint="eastAsia" w:ascii="仿宋" w:hAnsi="仿宋" w:eastAsia="仿宋" w:cs="仿宋"/>
          <w:sz w:val="30"/>
          <w:szCs w:val="18"/>
        </w:rPr>
      </w:pPr>
      <w:r>
        <w:rPr>
          <w:rFonts w:hint="eastAsia" w:ascii="仿宋" w:hAnsi="仿宋" w:eastAsia="仿宋" w:cs="仿宋"/>
          <w:sz w:val="30"/>
          <w:szCs w:val="18"/>
        </w:rPr>
        <w:t>=======================================================</w:t>
      </w:r>
    </w:p>
    <w:p>
      <w:pPr>
        <w:adjustRightInd w:val="0"/>
        <w:snapToGrid w:val="0"/>
        <w:spacing w:line="264" w:lineRule="auto"/>
        <w:ind w:firstLine="361"/>
        <w:jc w:val="center"/>
        <w:rPr>
          <w:rFonts w:hint="eastAsia" w:ascii="仿宋" w:hAnsi="仿宋" w:eastAsia="仿宋" w:cs="仿宋"/>
          <w:sz w:val="18"/>
          <w:szCs w:val="18"/>
        </w:rPr>
      </w:pPr>
    </w:p>
    <w:p>
      <w:pPr>
        <w:adjustRightInd w:val="0"/>
        <w:snapToGrid w:val="0"/>
        <w:spacing w:line="264" w:lineRule="auto"/>
        <w:ind w:firstLine="602"/>
        <w:rPr>
          <w:rFonts w:hint="eastAsia" w:ascii="仿宋" w:hAnsi="仿宋" w:eastAsia="仿宋" w:cs="仿宋"/>
          <w:sz w:val="30"/>
          <w:szCs w:val="18"/>
        </w:rPr>
      </w:pPr>
      <w:r>
        <w:rPr>
          <w:rFonts w:hint="eastAsia" w:ascii="仿宋" w:hAnsi="仿宋" w:eastAsia="仿宋" w:cs="仿宋"/>
          <w:sz w:val="30"/>
          <w:szCs w:val="18"/>
        </w:rPr>
        <w:t>（监管对象名称）：</w:t>
      </w:r>
    </w:p>
    <w:p>
      <w:pPr>
        <w:adjustRightInd w:val="0"/>
        <w:snapToGrid w:val="0"/>
        <w:spacing w:line="264" w:lineRule="auto"/>
        <w:ind w:firstLine="600" w:firstLineChars="200"/>
        <w:rPr>
          <w:rFonts w:hint="eastAsia" w:ascii="仿宋" w:hAnsi="仿宋" w:eastAsia="仿宋" w:cs="仿宋"/>
          <w:sz w:val="30"/>
          <w:szCs w:val="18"/>
        </w:rPr>
      </w:pPr>
      <w:r>
        <w:rPr>
          <w:rFonts w:hint="eastAsia" w:ascii="仿宋" w:hAnsi="仿宋" w:eastAsia="仿宋" w:cs="仿宋"/>
          <w:sz w:val="30"/>
          <w:szCs w:val="18"/>
        </w:rPr>
        <w:t>我行（营业管理部）</w:t>
      </w:r>
      <w:r>
        <w:rPr>
          <w:rFonts w:hint="eastAsia" w:ascii="仿宋" w:hAnsi="仿宋" w:eastAsia="仿宋" w:cs="仿宋"/>
          <w:sz w:val="30"/>
          <w:szCs w:val="18"/>
          <w:u w:val="single"/>
        </w:rPr>
        <w:t xml:space="preserve">       </w:t>
      </w:r>
      <w:r>
        <w:rPr>
          <w:rFonts w:hint="eastAsia" w:ascii="仿宋" w:hAnsi="仿宋" w:eastAsia="仿宋" w:cs="仿宋"/>
          <w:sz w:val="30"/>
          <w:szCs w:val="18"/>
        </w:rPr>
        <w:t>于   年   月   日至   年   月   日对你单位实施了反洗钱监管（现场风险评估□  监管走访□）活动，特此提出如下监管意见：</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rPr>
      </w:pPr>
    </w:p>
    <w:p>
      <w:pPr>
        <w:adjustRightInd w:val="0"/>
        <w:snapToGrid w:val="0"/>
        <w:spacing w:line="264" w:lineRule="auto"/>
        <w:ind w:left="560" w:firstLine="602"/>
        <w:rPr>
          <w:rFonts w:hint="eastAsia" w:ascii="仿宋" w:hAnsi="仿宋" w:eastAsia="仿宋" w:cs="仿宋"/>
          <w:sz w:val="30"/>
          <w:szCs w:val="18"/>
        </w:rPr>
      </w:pPr>
    </w:p>
    <w:p>
      <w:pPr>
        <w:adjustRightInd w:val="0"/>
        <w:snapToGrid w:val="0"/>
        <w:spacing w:line="264" w:lineRule="auto"/>
        <w:ind w:left="560" w:firstLine="602"/>
        <w:rPr>
          <w:rFonts w:hint="eastAsia" w:ascii="仿宋" w:hAnsi="仿宋" w:eastAsia="仿宋" w:cs="仿宋"/>
          <w:sz w:val="30"/>
          <w:szCs w:val="18"/>
        </w:rPr>
      </w:pPr>
    </w:p>
    <w:p>
      <w:pPr>
        <w:adjustRightInd w:val="0"/>
        <w:snapToGrid w:val="0"/>
        <w:spacing w:line="264" w:lineRule="auto"/>
        <w:ind w:left="560" w:firstLine="602"/>
        <w:rPr>
          <w:rFonts w:hint="eastAsia" w:ascii="仿宋" w:hAnsi="仿宋" w:eastAsia="仿宋" w:cs="仿宋"/>
          <w:sz w:val="30"/>
          <w:szCs w:val="18"/>
        </w:rPr>
      </w:pPr>
    </w:p>
    <w:p>
      <w:pPr>
        <w:adjustRightInd w:val="0"/>
        <w:snapToGrid w:val="0"/>
        <w:spacing w:line="264" w:lineRule="auto"/>
        <w:ind w:left="561" w:leftChars="267" w:firstLine="6144" w:firstLineChars="2048"/>
        <w:rPr>
          <w:rFonts w:hint="eastAsia" w:ascii="仿宋" w:hAnsi="仿宋" w:eastAsia="仿宋" w:cs="仿宋"/>
          <w:sz w:val="30"/>
          <w:szCs w:val="18"/>
        </w:rPr>
      </w:pPr>
      <w:r>
        <w:rPr>
          <w:rFonts w:hint="eastAsia" w:ascii="仿宋" w:hAnsi="仿宋" w:eastAsia="仿宋" w:cs="仿宋"/>
          <w:sz w:val="30"/>
          <w:szCs w:val="18"/>
        </w:rPr>
        <w:t>（公章）</w:t>
      </w:r>
    </w:p>
    <w:p>
      <w:pPr>
        <w:adjustRightInd w:val="0"/>
        <w:snapToGrid w:val="0"/>
        <w:spacing w:line="264" w:lineRule="auto"/>
        <w:ind w:left="561" w:leftChars="267" w:firstLine="5400" w:firstLineChars="1800"/>
        <w:rPr>
          <w:rFonts w:hint="eastAsia" w:ascii="仿宋" w:hAnsi="仿宋" w:eastAsia="仿宋" w:cs="仿宋"/>
          <w:sz w:val="30"/>
          <w:szCs w:val="18"/>
        </w:rPr>
      </w:pPr>
      <w:r>
        <w:rPr>
          <w:rFonts w:hint="eastAsia" w:ascii="仿宋" w:hAnsi="仿宋" w:eastAsia="仿宋" w:cs="仿宋"/>
          <w:sz w:val="30"/>
          <w:szCs w:val="18"/>
        </w:rPr>
        <w:t>年    月    日</w:t>
      </w:r>
    </w:p>
    <w:p>
      <w:pPr>
        <w:adjustRightInd w:val="0"/>
        <w:snapToGrid w:val="0"/>
        <w:spacing w:line="264" w:lineRule="auto"/>
        <w:ind w:firstLine="602"/>
        <w:rPr>
          <w:rFonts w:hint="eastAsia" w:ascii="仿宋" w:hAnsi="仿宋" w:eastAsia="仿宋" w:cs="仿宋"/>
          <w:sz w:val="32"/>
          <w:szCs w:val="20"/>
        </w:rPr>
      </w:pPr>
      <w:r>
        <w:rPr>
          <w:rFonts w:hint="eastAsia" w:ascii="仿宋" w:hAnsi="仿宋" w:eastAsia="仿宋" w:cs="仿宋"/>
          <w:sz w:val="30"/>
          <w:szCs w:val="18"/>
        </w:rPr>
        <w:br w:type="page"/>
      </w:r>
      <w:r>
        <w:rPr>
          <w:rFonts w:hint="eastAsia" w:ascii="仿宋" w:hAnsi="仿宋" w:eastAsia="仿宋" w:cs="仿宋"/>
          <w:sz w:val="32"/>
        </w:rPr>
        <w:t>附4</w:t>
      </w:r>
    </w:p>
    <w:p>
      <w:pPr>
        <w:adjustRightInd w:val="0"/>
        <w:snapToGrid w:val="0"/>
        <w:spacing w:line="264" w:lineRule="auto"/>
        <w:ind w:firstLine="643"/>
        <w:rPr>
          <w:rFonts w:hint="eastAsia" w:ascii="仿宋" w:hAnsi="仿宋" w:eastAsia="仿宋" w:cs="仿宋"/>
          <w:sz w:val="32"/>
        </w:rPr>
      </w:pPr>
    </w:p>
    <w:p>
      <w:pPr>
        <w:adjustRightInd w:val="0"/>
        <w:snapToGrid w:val="0"/>
        <w:spacing w:line="720" w:lineRule="exact"/>
        <w:ind w:firstLine="883"/>
        <w:jc w:val="center"/>
        <w:rPr>
          <w:rFonts w:hint="eastAsia" w:ascii="仿宋" w:hAnsi="仿宋" w:eastAsia="仿宋" w:cs="仿宋"/>
          <w:sz w:val="44"/>
          <w:szCs w:val="18"/>
        </w:rPr>
      </w:pPr>
      <w:r>
        <w:rPr>
          <w:rFonts w:hint="eastAsia" w:ascii="仿宋" w:hAnsi="仿宋" w:eastAsia="仿宋" w:cs="仿宋"/>
          <w:sz w:val="44"/>
          <w:szCs w:val="18"/>
        </w:rPr>
        <w:t>中国人民银行     行（营业管理部）</w:t>
      </w:r>
    </w:p>
    <w:p>
      <w:pPr>
        <w:adjustRightInd w:val="0"/>
        <w:snapToGrid w:val="0"/>
        <w:spacing w:line="720" w:lineRule="exact"/>
        <w:ind w:firstLine="883"/>
        <w:jc w:val="center"/>
        <w:rPr>
          <w:rFonts w:hint="eastAsia" w:ascii="仿宋" w:hAnsi="仿宋" w:eastAsia="仿宋" w:cs="仿宋"/>
          <w:sz w:val="44"/>
          <w:szCs w:val="18"/>
        </w:rPr>
      </w:pPr>
      <w:r>
        <w:rPr>
          <w:rFonts w:hint="eastAsia" w:ascii="仿宋" w:hAnsi="仿宋" w:eastAsia="仿宋" w:cs="仿宋"/>
          <w:sz w:val="44"/>
          <w:szCs w:val="18"/>
        </w:rPr>
        <w:t>反洗钱监管提示函</w:t>
      </w:r>
    </w:p>
    <w:p>
      <w:pPr>
        <w:adjustRightInd w:val="0"/>
        <w:snapToGrid w:val="0"/>
        <w:spacing w:line="288" w:lineRule="auto"/>
        <w:ind w:firstLine="602"/>
        <w:jc w:val="center"/>
        <w:rPr>
          <w:rFonts w:hint="eastAsia" w:ascii="仿宋" w:hAnsi="仿宋" w:eastAsia="仿宋" w:cs="仿宋"/>
          <w:sz w:val="30"/>
          <w:szCs w:val="18"/>
        </w:rPr>
      </w:pPr>
    </w:p>
    <w:p>
      <w:pPr>
        <w:adjustRightInd w:val="0"/>
        <w:snapToGrid w:val="0"/>
        <w:spacing w:line="288" w:lineRule="auto"/>
        <w:ind w:firstLine="602"/>
        <w:jc w:val="center"/>
        <w:rPr>
          <w:rFonts w:hint="eastAsia" w:ascii="仿宋" w:hAnsi="仿宋" w:eastAsia="仿宋" w:cs="仿宋"/>
          <w:sz w:val="30"/>
          <w:szCs w:val="18"/>
        </w:rPr>
      </w:pPr>
      <w:r>
        <w:rPr>
          <w:rFonts w:hint="eastAsia" w:ascii="仿宋" w:hAnsi="仿宋" w:eastAsia="仿宋" w:cs="仿宋"/>
          <w:sz w:val="30"/>
          <w:szCs w:val="18"/>
        </w:rPr>
        <w:t>反洗钱</w:t>
      </w:r>
      <w:r>
        <w:rPr>
          <w:rFonts w:hint="eastAsia" w:ascii="仿宋" w:hAnsi="仿宋" w:eastAsia="仿宋" w:cs="仿宋"/>
          <w:sz w:val="30"/>
          <w:szCs w:val="18"/>
          <w:u w:val="single"/>
        </w:rPr>
        <w:t xml:space="preserve">    </w:t>
      </w:r>
      <w:r>
        <w:rPr>
          <w:rFonts w:hint="eastAsia" w:ascii="仿宋" w:hAnsi="仿宋" w:eastAsia="仿宋" w:cs="仿宋"/>
          <w:bCs/>
          <w:sz w:val="30"/>
        </w:rPr>
        <w:t xml:space="preserve">〔〕   </w:t>
      </w:r>
      <w:r>
        <w:rPr>
          <w:rFonts w:hint="eastAsia" w:ascii="仿宋" w:hAnsi="仿宋" w:eastAsia="仿宋" w:cs="仿宋"/>
          <w:sz w:val="30"/>
          <w:szCs w:val="18"/>
        </w:rPr>
        <w:t>号</w:t>
      </w:r>
    </w:p>
    <w:p>
      <w:pPr>
        <w:adjustRightInd w:val="0"/>
        <w:snapToGrid w:val="0"/>
        <w:spacing w:line="264" w:lineRule="auto"/>
        <w:ind w:firstLine="602"/>
        <w:rPr>
          <w:rFonts w:hint="eastAsia" w:ascii="仿宋" w:hAnsi="仿宋" w:eastAsia="仿宋" w:cs="仿宋"/>
          <w:sz w:val="30"/>
          <w:szCs w:val="18"/>
        </w:rPr>
      </w:pPr>
      <w:r>
        <w:rPr>
          <w:rFonts w:hint="eastAsia" w:ascii="仿宋" w:hAnsi="仿宋" w:eastAsia="仿宋" w:cs="仿宋"/>
          <w:sz w:val="30"/>
          <w:szCs w:val="18"/>
        </w:rPr>
        <w:t>=======================================================</w:t>
      </w:r>
    </w:p>
    <w:p>
      <w:pPr>
        <w:adjustRightInd w:val="0"/>
        <w:snapToGrid w:val="0"/>
        <w:spacing w:line="264" w:lineRule="auto"/>
        <w:ind w:firstLine="361"/>
        <w:jc w:val="center"/>
        <w:rPr>
          <w:rFonts w:hint="eastAsia" w:ascii="仿宋" w:hAnsi="仿宋" w:eastAsia="仿宋" w:cs="仿宋"/>
          <w:sz w:val="18"/>
          <w:szCs w:val="18"/>
        </w:rPr>
      </w:pPr>
    </w:p>
    <w:p>
      <w:pPr>
        <w:adjustRightInd w:val="0"/>
        <w:snapToGrid w:val="0"/>
        <w:spacing w:line="264" w:lineRule="auto"/>
        <w:ind w:firstLine="602"/>
        <w:rPr>
          <w:rFonts w:hint="eastAsia" w:ascii="仿宋" w:hAnsi="仿宋" w:eastAsia="仿宋" w:cs="仿宋"/>
          <w:sz w:val="30"/>
          <w:szCs w:val="18"/>
        </w:rPr>
      </w:pPr>
      <w:r>
        <w:rPr>
          <w:rFonts w:hint="eastAsia" w:ascii="仿宋" w:hAnsi="仿宋" w:eastAsia="仿宋" w:cs="仿宋"/>
          <w:sz w:val="30"/>
          <w:szCs w:val="18"/>
        </w:rPr>
        <w:t>（监管对象名称）：</w:t>
      </w:r>
    </w:p>
    <w:p>
      <w:pPr>
        <w:adjustRightInd w:val="0"/>
        <w:snapToGrid w:val="0"/>
        <w:spacing w:line="264" w:lineRule="auto"/>
        <w:ind w:firstLine="600" w:firstLineChars="200"/>
        <w:rPr>
          <w:rFonts w:hint="eastAsia" w:ascii="仿宋" w:hAnsi="仿宋" w:eastAsia="仿宋" w:cs="仿宋"/>
          <w:sz w:val="30"/>
          <w:szCs w:val="18"/>
        </w:rPr>
      </w:pPr>
      <w:r>
        <w:rPr>
          <w:rFonts w:hint="eastAsia" w:ascii="仿宋" w:hAnsi="仿宋" w:eastAsia="仿宋" w:cs="仿宋"/>
          <w:sz w:val="30"/>
          <w:szCs w:val="18"/>
        </w:rPr>
        <w:t>我行（营业管理部）在反洗钱监管中发现你单位存在以下问题，特此提示：</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rPr>
      </w:pPr>
      <w:r>
        <w:rPr>
          <w:rFonts w:hint="eastAsia" w:ascii="仿宋" w:hAnsi="仿宋" w:eastAsia="仿宋" w:cs="仿宋"/>
          <w:sz w:val="30"/>
          <w:szCs w:val="18"/>
          <w:u w:val="single"/>
        </w:rPr>
        <w:t xml:space="preserve">                                                       </w:t>
      </w:r>
      <w:r>
        <w:rPr>
          <w:rFonts w:hint="eastAsia" w:ascii="仿宋" w:hAnsi="仿宋" w:eastAsia="仿宋" w:cs="仿宋"/>
          <w:sz w:val="30"/>
          <w:szCs w:val="18"/>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u w:val="single"/>
        </w:rPr>
      </w:pPr>
      <w:r>
        <w:rPr>
          <w:rFonts w:hint="eastAsia" w:ascii="仿宋" w:hAnsi="仿宋" w:eastAsia="仿宋" w:cs="仿宋"/>
          <w:sz w:val="30"/>
          <w:szCs w:val="18"/>
          <w:u w:val="single"/>
        </w:rPr>
        <w:t xml:space="preserve">                                                       </w:t>
      </w:r>
    </w:p>
    <w:p>
      <w:pPr>
        <w:adjustRightInd w:val="0"/>
        <w:snapToGrid w:val="0"/>
        <w:spacing w:line="264" w:lineRule="auto"/>
        <w:ind w:firstLine="602"/>
        <w:rPr>
          <w:rFonts w:hint="eastAsia" w:ascii="仿宋" w:hAnsi="仿宋" w:eastAsia="仿宋" w:cs="仿宋"/>
          <w:sz w:val="30"/>
          <w:szCs w:val="18"/>
        </w:rPr>
      </w:pPr>
    </w:p>
    <w:p>
      <w:pPr>
        <w:adjustRightInd w:val="0"/>
        <w:snapToGrid w:val="0"/>
        <w:spacing w:line="264" w:lineRule="auto"/>
        <w:ind w:left="560" w:firstLine="602"/>
        <w:rPr>
          <w:rFonts w:hint="eastAsia" w:ascii="仿宋" w:hAnsi="仿宋" w:eastAsia="仿宋" w:cs="仿宋"/>
          <w:sz w:val="30"/>
          <w:szCs w:val="18"/>
        </w:rPr>
      </w:pPr>
    </w:p>
    <w:p>
      <w:pPr>
        <w:adjustRightInd w:val="0"/>
        <w:snapToGrid w:val="0"/>
        <w:spacing w:line="264" w:lineRule="auto"/>
        <w:ind w:left="560" w:firstLine="602"/>
        <w:rPr>
          <w:rFonts w:hint="eastAsia" w:ascii="仿宋" w:hAnsi="仿宋" w:eastAsia="仿宋" w:cs="仿宋"/>
          <w:sz w:val="30"/>
          <w:szCs w:val="18"/>
        </w:rPr>
      </w:pPr>
    </w:p>
    <w:p>
      <w:pPr>
        <w:adjustRightInd w:val="0"/>
        <w:snapToGrid w:val="0"/>
        <w:spacing w:line="264" w:lineRule="auto"/>
        <w:ind w:left="560" w:firstLine="602"/>
        <w:rPr>
          <w:rFonts w:hint="eastAsia" w:ascii="仿宋" w:hAnsi="仿宋" w:eastAsia="仿宋" w:cs="仿宋"/>
          <w:sz w:val="30"/>
          <w:szCs w:val="18"/>
        </w:rPr>
      </w:pPr>
    </w:p>
    <w:p>
      <w:pPr>
        <w:adjustRightInd w:val="0"/>
        <w:snapToGrid w:val="0"/>
        <w:spacing w:line="264" w:lineRule="auto"/>
        <w:ind w:left="561" w:leftChars="267" w:firstLine="6144" w:firstLineChars="2048"/>
        <w:rPr>
          <w:rFonts w:hint="eastAsia" w:ascii="仿宋" w:hAnsi="仿宋" w:eastAsia="仿宋" w:cs="仿宋"/>
          <w:sz w:val="30"/>
          <w:szCs w:val="18"/>
        </w:rPr>
      </w:pPr>
      <w:r>
        <w:rPr>
          <w:rFonts w:hint="eastAsia" w:ascii="仿宋" w:hAnsi="仿宋" w:eastAsia="仿宋" w:cs="仿宋"/>
          <w:sz w:val="30"/>
          <w:szCs w:val="18"/>
        </w:rPr>
        <w:t>（公章）</w:t>
      </w:r>
    </w:p>
    <w:p>
      <w:pPr>
        <w:adjustRightInd w:val="0"/>
        <w:snapToGrid w:val="0"/>
        <w:spacing w:line="264" w:lineRule="auto"/>
        <w:ind w:left="561" w:leftChars="267" w:firstLine="5400" w:firstLineChars="1800"/>
        <w:rPr>
          <w:rFonts w:hint="eastAsia" w:ascii="仿宋" w:hAnsi="仿宋" w:eastAsia="仿宋" w:cs="仿宋"/>
          <w:sz w:val="30"/>
          <w:szCs w:val="18"/>
        </w:rPr>
      </w:pPr>
      <w:r>
        <w:rPr>
          <w:rFonts w:hint="eastAsia" w:ascii="仿宋" w:hAnsi="仿宋" w:eastAsia="仿宋" w:cs="仿宋"/>
          <w:sz w:val="30"/>
          <w:szCs w:val="18"/>
        </w:rPr>
        <w:t>年    月    日</w:t>
      </w:r>
    </w:p>
    <w:p>
      <w:pPr>
        <w:adjustRightInd w:val="0"/>
        <w:snapToGrid w:val="0"/>
        <w:spacing w:line="312" w:lineRule="auto"/>
        <w:ind w:firstLine="640" w:firstLineChars="200"/>
        <w:rPr>
          <w:rFonts w:hint="eastAsia" w:ascii="仿宋" w:hAnsi="仿宋" w:eastAsia="仿宋" w:cs="仿宋"/>
        </w:rPr>
      </w:pPr>
      <w:r>
        <w:rPr>
          <w:rFonts w:hint="eastAsia" w:ascii="仿宋" w:hAnsi="仿宋" w:eastAsia="仿宋" w:cs="仿宋"/>
          <w:sz w:val="32"/>
        </w:rPr>
        <w:br w:type="page"/>
      </w:r>
      <w:r>
        <w:rPr>
          <w:rFonts w:hint="eastAsia" w:ascii="仿宋" w:hAnsi="仿宋" w:eastAsia="仿宋" w:cs="仿宋"/>
        </w:rPr>
        <w:t>附5</w:t>
      </w:r>
    </w:p>
    <w:p>
      <w:pPr>
        <w:adjustRightInd w:val="0"/>
        <w:snapToGrid w:val="0"/>
        <w:spacing w:line="720" w:lineRule="exact"/>
        <w:ind w:firstLine="883"/>
        <w:jc w:val="center"/>
        <w:rPr>
          <w:rFonts w:hint="eastAsia" w:ascii="仿宋" w:hAnsi="仿宋" w:eastAsia="仿宋" w:cs="仿宋"/>
          <w:sz w:val="44"/>
          <w:szCs w:val="18"/>
        </w:rPr>
      </w:pPr>
      <w:r>
        <w:rPr>
          <w:rFonts w:hint="eastAsia" w:ascii="仿宋" w:hAnsi="仿宋" w:eastAsia="仿宋" w:cs="仿宋"/>
          <w:sz w:val="44"/>
          <w:szCs w:val="18"/>
        </w:rPr>
        <w:t>中国人民银行   行（营业管理部）</w:t>
      </w:r>
    </w:p>
    <w:p>
      <w:pPr>
        <w:adjustRightInd w:val="0"/>
        <w:snapToGrid w:val="0"/>
        <w:spacing w:line="720" w:lineRule="exact"/>
        <w:ind w:firstLine="883"/>
        <w:jc w:val="center"/>
        <w:rPr>
          <w:rFonts w:hint="eastAsia" w:ascii="仿宋" w:hAnsi="仿宋" w:eastAsia="仿宋" w:cs="仿宋"/>
          <w:sz w:val="44"/>
          <w:szCs w:val="18"/>
        </w:rPr>
      </w:pPr>
      <w:r>
        <w:rPr>
          <w:rFonts w:hint="eastAsia" w:ascii="仿宋" w:hAnsi="仿宋" w:eastAsia="仿宋" w:cs="仿宋"/>
          <w:sz w:val="44"/>
          <w:szCs w:val="18"/>
        </w:rPr>
        <w:t>反洗钱约谈记录</w:t>
      </w:r>
    </w:p>
    <w:p>
      <w:pPr>
        <w:adjustRightInd w:val="0"/>
        <w:snapToGrid w:val="0"/>
        <w:ind w:firstLine="643"/>
        <w:jc w:val="center"/>
        <w:rPr>
          <w:rFonts w:hint="eastAsia" w:ascii="仿宋" w:hAnsi="仿宋" w:eastAsia="仿宋" w:cs="仿宋"/>
          <w:sz w:val="32"/>
          <w:szCs w:val="20"/>
        </w:rPr>
      </w:pPr>
    </w:p>
    <w:tbl>
      <w:tblPr>
        <w:tblStyle w:val="27"/>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658"/>
        <w:gridCol w:w="2190"/>
        <w:gridCol w:w="1055"/>
        <w:gridCol w:w="319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90" w:hRule="atLeast"/>
          <w:jc w:val="center"/>
        </w:trPr>
        <w:tc>
          <w:tcPr>
            <w:tcW w:w="1658" w:type="dxa"/>
            <w:tcBorders>
              <w:top w:val="single" w:color="auto" w:sz="8" w:space="0"/>
              <w:left w:val="single" w:color="auto" w:sz="8" w:space="0"/>
              <w:bottom w:val="single" w:color="auto" w:sz="8" w:space="0"/>
              <w:right w:val="single" w:color="auto" w:sz="8"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时    间</w:t>
            </w:r>
          </w:p>
        </w:tc>
        <w:tc>
          <w:tcPr>
            <w:tcW w:w="2190" w:type="dxa"/>
            <w:tcBorders>
              <w:top w:val="single" w:color="auto" w:sz="8" w:space="0"/>
              <w:left w:val="single" w:color="auto" w:sz="8" w:space="0"/>
              <w:bottom w:val="single" w:color="auto" w:sz="8" w:space="0"/>
              <w:right w:val="single" w:color="auto" w:sz="8" w:space="0"/>
            </w:tcBorders>
            <w:vAlign w:val="center"/>
          </w:tcPr>
          <w:p>
            <w:pPr>
              <w:spacing w:after="160" w:line="276" w:lineRule="auto"/>
              <w:ind w:firstLine="482"/>
              <w:jc w:val="center"/>
              <w:rPr>
                <w:rFonts w:hint="eastAsia" w:ascii="仿宋" w:hAnsi="仿宋" w:eastAsia="仿宋" w:cs="仿宋"/>
                <w:bCs/>
                <w:sz w:val="24"/>
              </w:rPr>
            </w:pPr>
          </w:p>
        </w:tc>
        <w:tc>
          <w:tcPr>
            <w:tcW w:w="1055" w:type="dxa"/>
            <w:tcBorders>
              <w:top w:val="single" w:color="auto" w:sz="8" w:space="0"/>
              <w:left w:val="single" w:color="auto" w:sz="8" w:space="0"/>
              <w:bottom w:val="single" w:color="auto" w:sz="8" w:space="0"/>
              <w:right w:val="single" w:color="auto" w:sz="8"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地点</w:t>
            </w:r>
          </w:p>
        </w:tc>
        <w:tc>
          <w:tcPr>
            <w:tcW w:w="3199" w:type="dxa"/>
            <w:tcBorders>
              <w:top w:val="single" w:color="auto" w:sz="8" w:space="0"/>
              <w:left w:val="single" w:color="auto" w:sz="8" w:space="0"/>
              <w:bottom w:val="single" w:color="auto" w:sz="8" w:space="0"/>
              <w:right w:val="single" w:color="auto" w:sz="8" w:space="0"/>
            </w:tcBorders>
            <w:vAlign w:val="center"/>
          </w:tcPr>
          <w:p>
            <w:pPr>
              <w:spacing w:after="160" w:line="276" w:lineRule="auto"/>
              <w:ind w:firstLine="482"/>
              <w:jc w:val="center"/>
              <w:rPr>
                <w:rFonts w:hint="eastAsia" w:ascii="仿宋" w:hAnsi="仿宋" w:eastAsia="仿宋" w:cs="仿宋"/>
                <w:bCs/>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390" w:hRule="atLeast"/>
          <w:jc w:val="center"/>
        </w:trPr>
        <w:tc>
          <w:tcPr>
            <w:tcW w:w="1658" w:type="dxa"/>
            <w:vMerge w:val="restart"/>
            <w:tcBorders>
              <w:top w:val="single" w:color="auto" w:sz="8" w:space="0"/>
              <w:left w:val="single" w:color="auto" w:sz="8" w:space="0"/>
              <w:bottom w:val="single" w:color="auto" w:sz="8" w:space="0"/>
              <w:right w:val="single" w:color="auto" w:sz="8"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谈话对象</w:t>
            </w:r>
          </w:p>
        </w:tc>
        <w:tc>
          <w:tcPr>
            <w:tcW w:w="6444" w:type="dxa"/>
            <w:gridSpan w:val="3"/>
            <w:tcBorders>
              <w:top w:val="single" w:color="auto" w:sz="8" w:space="0"/>
              <w:left w:val="single" w:color="auto" w:sz="8" w:space="0"/>
              <w:bottom w:val="single" w:color="auto" w:sz="8" w:space="0"/>
              <w:right w:val="single" w:color="auto" w:sz="8" w:space="0"/>
            </w:tcBorders>
            <w:vAlign w:val="center"/>
          </w:tcPr>
          <w:p>
            <w:pPr>
              <w:pStyle w:val="338"/>
              <w:widowControl w:val="0"/>
              <w:spacing w:before="0" w:beforeAutospacing="0" w:after="0" w:afterAutospacing="0" w:line="276" w:lineRule="auto"/>
              <w:ind w:firstLine="321"/>
              <w:rPr>
                <w:rFonts w:hint="eastAsia" w:ascii="仿宋" w:hAnsi="仿宋" w:eastAsia="仿宋" w:cs="仿宋"/>
                <w:bCs/>
                <w:sz w:val="24"/>
              </w:rPr>
            </w:pPr>
            <w:r>
              <w:rPr>
                <w:rFonts w:hint="eastAsia" w:ascii="仿宋" w:hAnsi="仿宋" w:eastAsia="仿宋" w:cs="仿宋"/>
                <w:bCs/>
              </w:rPr>
              <w:t>机构名称：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390" w:hRule="atLeast"/>
          <w:jc w:val="center"/>
        </w:trPr>
        <w:tc>
          <w:tcPr>
            <w:tcW w:w="8102" w:type="dxa"/>
            <w:vMerge w:val="continue"/>
            <w:tcBorders>
              <w:top w:val="single" w:color="auto" w:sz="8" w:space="0"/>
              <w:left w:val="single" w:color="auto" w:sz="8" w:space="0"/>
              <w:bottom w:val="single" w:color="auto" w:sz="8" w:space="0"/>
              <w:right w:val="single" w:color="auto" w:sz="8" w:space="0"/>
            </w:tcBorders>
            <w:vAlign w:val="center"/>
          </w:tcPr>
          <w:p>
            <w:pPr>
              <w:widowControl/>
              <w:spacing w:after="160" w:line="276" w:lineRule="auto"/>
              <w:ind w:firstLine="482"/>
              <w:jc w:val="left"/>
              <w:rPr>
                <w:rFonts w:hint="eastAsia" w:ascii="仿宋" w:hAnsi="仿宋" w:eastAsia="仿宋" w:cs="仿宋"/>
                <w:bCs/>
                <w:sz w:val="24"/>
              </w:rPr>
            </w:pPr>
          </w:p>
        </w:tc>
        <w:tc>
          <w:tcPr>
            <w:tcW w:w="6444" w:type="dxa"/>
            <w:gridSpan w:val="3"/>
            <w:tcBorders>
              <w:top w:val="single" w:color="auto" w:sz="8" w:space="0"/>
              <w:left w:val="single" w:color="auto" w:sz="8" w:space="0"/>
              <w:bottom w:val="single" w:color="auto" w:sz="8" w:space="0"/>
              <w:right w:val="single" w:color="auto" w:sz="8" w:space="0"/>
            </w:tcBorders>
            <w:vAlign w:val="center"/>
          </w:tcPr>
          <w:p>
            <w:pPr>
              <w:spacing w:after="160" w:line="276" w:lineRule="auto"/>
              <w:ind w:firstLine="482"/>
              <w:rPr>
                <w:rFonts w:hint="eastAsia" w:ascii="仿宋" w:hAnsi="仿宋" w:eastAsia="仿宋" w:cs="仿宋"/>
                <w:bCs/>
                <w:sz w:val="24"/>
              </w:rPr>
            </w:pPr>
            <w:r>
              <w:rPr>
                <w:rFonts w:hint="eastAsia" w:ascii="仿宋" w:hAnsi="仿宋" w:eastAsia="仿宋" w:cs="仿宋"/>
                <w:bCs/>
                <w:sz w:val="24"/>
              </w:rPr>
              <w:t>被谈话人员及职务：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90" w:hRule="atLeast"/>
          <w:jc w:val="center"/>
        </w:trPr>
        <w:tc>
          <w:tcPr>
            <w:tcW w:w="1658" w:type="dxa"/>
            <w:tcBorders>
              <w:top w:val="single" w:color="auto" w:sz="8" w:space="0"/>
              <w:left w:val="single" w:color="auto" w:sz="8" w:space="0"/>
              <w:bottom w:val="single" w:color="auto" w:sz="8" w:space="0"/>
              <w:right w:val="single" w:color="auto" w:sz="8"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监管人员</w:t>
            </w:r>
          </w:p>
        </w:tc>
        <w:tc>
          <w:tcPr>
            <w:tcW w:w="2190" w:type="dxa"/>
            <w:tcBorders>
              <w:top w:val="single" w:color="auto" w:sz="8" w:space="0"/>
              <w:left w:val="single" w:color="auto" w:sz="8" w:space="0"/>
              <w:bottom w:val="single" w:color="auto" w:sz="8" w:space="0"/>
              <w:right w:val="single" w:color="auto" w:sz="8" w:space="0"/>
            </w:tcBorders>
            <w:vAlign w:val="center"/>
          </w:tcPr>
          <w:p>
            <w:pPr>
              <w:spacing w:after="160" w:line="276" w:lineRule="auto"/>
              <w:ind w:firstLine="482"/>
              <w:jc w:val="center"/>
              <w:rPr>
                <w:rFonts w:hint="eastAsia" w:ascii="仿宋" w:hAnsi="仿宋" w:eastAsia="仿宋" w:cs="仿宋"/>
                <w:bCs/>
                <w:sz w:val="24"/>
              </w:rPr>
            </w:pPr>
          </w:p>
        </w:tc>
        <w:tc>
          <w:tcPr>
            <w:tcW w:w="1055" w:type="dxa"/>
            <w:tcBorders>
              <w:top w:val="single" w:color="auto" w:sz="8" w:space="0"/>
              <w:left w:val="single" w:color="auto" w:sz="8" w:space="0"/>
              <w:bottom w:val="single" w:color="auto" w:sz="8" w:space="0"/>
              <w:right w:val="single" w:color="auto" w:sz="8" w:space="0"/>
            </w:tcBorders>
            <w:vAlign w:val="center"/>
          </w:tcPr>
          <w:p>
            <w:pPr>
              <w:spacing w:after="160" w:line="276" w:lineRule="auto"/>
              <w:ind w:firstLine="482"/>
              <w:jc w:val="center"/>
              <w:rPr>
                <w:rFonts w:hint="eastAsia" w:ascii="仿宋" w:hAnsi="仿宋" w:eastAsia="仿宋" w:cs="仿宋"/>
                <w:bCs/>
                <w:sz w:val="24"/>
              </w:rPr>
            </w:pPr>
            <w:r>
              <w:rPr>
                <w:rFonts w:hint="eastAsia" w:ascii="仿宋" w:hAnsi="仿宋" w:eastAsia="仿宋" w:cs="仿宋"/>
                <w:bCs/>
                <w:sz w:val="24"/>
              </w:rPr>
              <w:t>记录人</w:t>
            </w:r>
          </w:p>
        </w:tc>
        <w:tc>
          <w:tcPr>
            <w:tcW w:w="3199" w:type="dxa"/>
            <w:tcBorders>
              <w:top w:val="single" w:color="auto" w:sz="8" w:space="0"/>
              <w:left w:val="single" w:color="auto" w:sz="8" w:space="0"/>
              <w:bottom w:val="single" w:color="auto" w:sz="8" w:space="0"/>
              <w:right w:val="single" w:color="auto" w:sz="8" w:space="0"/>
            </w:tcBorders>
            <w:vAlign w:val="center"/>
          </w:tcPr>
          <w:p>
            <w:pPr>
              <w:spacing w:after="160" w:line="276" w:lineRule="auto"/>
              <w:ind w:firstLine="482"/>
              <w:jc w:val="center"/>
              <w:rPr>
                <w:rFonts w:hint="eastAsia" w:ascii="仿宋" w:hAnsi="仿宋" w:eastAsia="仿宋" w:cs="仿宋"/>
                <w:bCs/>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8420" w:hRule="atLeast"/>
          <w:jc w:val="center"/>
        </w:trPr>
        <w:tc>
          <w:tcPr>
            <w:tcW w:w="8102" w:type="dxa"/>
            <w:gridSpan w:val="4"/>
            <w:tcBorders>
              <w:top w:val="single" w:color="auto" w:sz="8" w:space="0"/>
              <w:left w:val="single" w:color="auto" w:sz="8" w:space="0"/>
              <w:bottom w:val="single" w:color="auto" w:sz="8" w:space="0"/>
              <w:right w:val="single" w:color="auto" w:sz="8" w:space="0"/>
            </w:tcBorders>
          </w:tcPr>
          <w:p>
            <w:pPr>
              <w:spacing w:after="160" w:line="276" w:lineRule="auto"/>
              <w:ind w:firstLine="360" w:firstLineChars="150"/>
              <w:rPr>
                <w:rFonts w:hint="eastAsia" w:ascii="仿宋" w:hAnsi="仿宋" w:eastAsia="仿宋" w:cs="仿宋"/>
                <w:bCs/>
                <w:sz w:val="24"/>
              </w:rPr>
            </w:pPr>
          </w:p>
          <w:p>
            <w:pPr>
              <w:spacing w:after="160" w:line="276" w:lineRule="auto"/>
              <w:ind w:firstLine="482"/>
              <w:rPr>
                <w:rFonts w:hint="eastAsia" w:ascii="仿宋" w:hAnsi="仿宋" w:eastAsia="仿宋" w:cs="仿宋"/>
                <w:bCs/>
                <w:sz w:val="24"/>
              </w:rPr>
            </w:pPr>
            <w:r>
              <w:rPr>
                <w:rFonts w:hint="eastAsia" w:ascii="仿宋" w:hAnsi="仿宋" w:eastAsia="仿宋" w:cs="仿宋"/>
                <w:bCs/>
                <w:sz w:val="24"/>
              </w:rPr>
              <w:t xml:space="preserve">  谈话内容：</w:t>
            </w:r>
          </w:p>
          <w:p>
            <w:pPr>
              <w:spacing w:after="160" w:line="276" w:lineRule="auto"/>
              <w:ind w:firstLine="482"/>
              <w:rPr>
                <w:rFonts w:hint="eastAsia" w:ascii="仿宋" w:hAnsi="仿宋" w:eastAsia="仿宋" w:cs="仿宋"/>
                <w:bCs/>
                <w:sz w:val="24"/>
              </w:rPr>
            </w:pPr>
          </w:p>
          <w:p>
            <w:pPr>
              <w:spacing w:after="160" w:line="276" w:lineRule="auto"/>
              <w:ind w:firstLine="482"/>
              <w:rPr>
                <w:rFonts w:hint="eastAsia" w:ascii="仿宋" w:hAnsi="仿宋" w:eastAsia="仿宋" w:cs="仿宋"/>
                <w:bCs/>
                <w:sz w:val="24"/>
              </w:rPr>
            </w:pPr>
          </w:p>
          <w:p>
            <w:pPr>
              <w:spacing w:after="160" w:line="276" w:lineRule="auto"/>
              <w:ind w:firstLine="482"/>
              <w:rPr>
                <w:rFonts w:hint="eastAsia" w:ascii="仿宋" w:hAnsi="仿宋" w:eastAsia="仿宋" w:cs="仿宋"/>
                <w:bCs/>
                <w:sz w:val="24"/>
              </w:rPr>
            </w:pPr>
          </w:p>
          <w:p>
            <w:pPr>
              <w:spacing w:after="160" w:line="276" w:lineRule="auto"/>
              <w:ind w:firstLine="482"/>
              <w:rPr>
                <w:rFonts w:hint="eastAsia" w:ascii="仿宋" w:hAnsi="仿宋" w:eastAsia="仿宋" w:cs="仿宋"/>
                <w:bCs/>
                <w:sz w:val="24"/>
              </w:rPr>
            </w:pPr>
          </w:p>
          <w:p>
            <w:pPr>
              <w:spacing w:after="160" w:line="276" w:lineRule="auto"/>
              <w:ind w:firstLine="482"/>
              <w:rPr>
                <w:rFonts w:hint="eastAsia" w:ascii="仿宋" w:hAnsi="仿宋" w:eastAsia="仿宋" w:cs="仿宋"/>
                <w:bCs/>
                <w:sz w:val="24"/>
              </w:rPr>
            </w:pPr>
          </w:p>
        </w:tc>
      </w:tr>
    </w:tbl>
    <w:p>
      <w:pPr>
        <w:ind w:firstLine="482"/>
        <w:jc w:val="left"/>
        <w:rPr>
          <w:rFonts w:hint="eastAsia" w:ascii="仿宋" w:hAnsi="仿宋" w:eastAsia="仿宋" w:cs="仿宋"/>
          <w:sz w:val="24"/>
          <w:szCs w:val="18"/>
        </w:rPr>
      </w:pPr>
      <w:r>
        <w:rPr>
          <w:rFonts w:hint="eastAsia" w:ascii="仿宋" w:hAnsi="仿宋" w:eastAsia="仿宋" w:cs="仿宋"/>
          <w:sz w:val="24"/>
          <w:szCs w:val="18"/>
        </w:rPr>
        <w:t xml:space="preserve"> 谈话人：（签字）                              被谈话人：（签字）</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ind w:firstLine="422"/>
        <w:jc w:val="center"/>
        <w:rPr>
          <w:rFonts w:hint="eastAsia" w:ascii="仿宋" w:hAnsi="仿宋" w:eastAsia="仿宋" w:cs="仿宋"/>
          <w:b/>
          <w:bCs/>
        </w:rPr>
      </w:pPr>
      <w:r>
        <w:rPr>
          <w:rFonts w:hint="eastAsia" w:ascii="仿宋" w:hAnsi="仿宋" w:eastAsia="仿宋" w:cs="仿宋"/>
          <w:b/>
          <w:bCs/>
        </w:rPr>
        <w:t>中国人民银行有关部门负责人就</w:t>
      </w:r>
      <w:r>
        <w:rPr>
          <w:rFonts w:hint="eastAsia" w:ascii="仿宋" w:hAnsi="仿宋" w:eastAsia="仿宋" w:cs="仿宋"/>
          <w:b/>
          <w:bCs/>
        </w:rPr>
        <w:br w:type="textWrapping"/>
      </w:r>
      <w:r>
        <w:rPr>
          <w:rFonts w:hint="eastAsia" w:ascii="仿宋" w:hAnsi="仿宋" w:eastAsia="仿宋" w:cs="仿宋"/>
          <w:b/>
          <w:bCs/>
        </w:rPr>
        <w:t>《金融机构反洗钱和反恐怖融资监督管理办法》答记者问</w:t>
      </w:r>
    </w:p>
    <w:p>
      <w:pPr>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完善反洗钱监管机制，进一步提升我国洗钱和恐怖融资风险防范能力，中国人民银行日前印发《金融机构反洗钱和反恐怖融资监督管理办法》（中国人民银行令〔2021〕第3号，以下简称《办法》），自2021年8月1日起施行。人民银行有关部门负责人就相关问题回答了记者提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一、《办法》出台的背景是什么？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九届四中、五中全会提出，坚持和完善中国特色社会主义制度，加强国家治理体系和治理能力现代化建设，注重防范化解重大风险。《国务院办公厅关于完善反洗钱、反恐怖融资、反逃税监管体制机制的意见》提出，要发挥反洗钱在推进国家治理体系和治理能力现代化、维护经济社会安全稳定等方面的作用。现行《金融机构反洗钱监督管理办法（试行）》（银发〔2014〕344号）发布实施以来，对预防打击洗钱、恐怖融资等非法金融活动发挥了重要作用。随着国内金融业务发展创新、国际反洗钱要求不断提高，需要完善相关法律制度，进一步发挥反洗钱在建设现代金融体系、扩大金融业双向开放等领域中的作用。2019年国际反洗钱评估总体认可我国反洗钱工作取得的进展，但也指出我国反洗钱工作存在不足，反洗钱监管有效性、金融机构反洗钱水平等与国际要求还有一定差距，需要我们进一步完善反洗钱监管机制，不断提升我国反洗钱工作水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二、制定《办法》的必要性是什么？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是提升我国洗钱和恐怖融资风险防范能力的需要。近年来，反洗钱领域出现一些新挑战，为提升我国洗钱和恐怖融资风险防范能力，需要围绕金融风险防控要求，进一步完善反洗钱监管制度，加强反洗钱监管。二是反洗钱国际评估后续整改的需要。国际反洗钱评估指出我国反洗钱工作存在不足，需要进一步完善我国反洗钱监管制度，明确对金融机构的相关要求，做好国际评估后续整改工作。三是督促金融机构提高反洗钱工作水平的需要。随着国内外反洗钱形势不断变化，国际反洗钱要求不断趋严，需要进一步督促金融机构按照风险为本原则，完善反洗钱内部控制制度和风险管理政策，不断提高反洗钱工作水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三、《办法》修订的主要内容包括哪些？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完善风险为本监管原则和工作要求。一是明确人民银行应当对金融机构开展风险评估，及时、准确了解金融机构风险状况。二是明确人民银行及其分支机构以风险评估结果为依据，实施分类监管。三是确立分类监管的原则和逻辑，明确人民银行结合风险评估发现问题的性质、复杂性和严重程度，采取不同的反洗钱监管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增加金融机构反洗钱内部控制和风险管理工作要求。一是要求金融机构开展洗钱和恐怖融资风险自评估，根据经营规模和风险状况建立健全内部控制制度，制定相应的风险管理政策。二是明确金融机构反洗钱组织机构、人力资源保障、反洗钱信息系统和技术保障等要求。三是明确金融机构反洗钱内部审计要求。四是为防范境外机构反洗钱监管风险，增加金融机构对境外分支机构和控股附属机构的管理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优化反洗钱监管措施和手段。一是删除质询措施，增加《反洗钱监管提示函》，便于及时向金融机构提示问题和风险隐患。二是完善现场风险评估措施。三是完善监管走访和约见谈话的适用情形。四是明确持续监管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（四）完善反洗钱监管对象范围。在适用范围中增加非银行支付机构、网络小额贷款公司，以及消费金融公司、贷款公司、银行理财子公司等机构类型。</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