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464" w:name="_Toc16607"/>
      <w:r>
        <w:rPr>
          <w:rFonts w:hint="eastAsia"/>
        </w:rPr>
        <w:t>5</w:t>
      </w:r>
      <w:r>
        <w:t>74.3</w:t>
      </w:r>
      <w:r>
        <w:rPr>
          <w:rFonts w:hint="eastAsia"/>
        </w:rPr>
        <w:t xml:space="preserve">--中国人民银行关于下调金融机构存款准备金率的通知 </w:t>
      </w:r>
      <w:r>
        <w:br w:type="textWrapping"/>
      </w:r>
      <w:r>
        <w:rPr>
          <w:rFonts w:hint="eastAsia"/>
        </w:rPr>
        <w:t>银发〔</w:t>
      </w:r>
      <w:r>
        <w:t>2023〕184号</w:t>
      </w:r>
      <w:bookmarkEnd w:id="1464"/>
    </w:p>
    <w:p>
      <w:pPr>
        <w:adjustRightInd w:val="0"/>
        <w:snapToGrid w:val="0"/>
        <w:spacing w:line="312" w:lineRule="auto"/>
        <w:rPr>
          <w:rFonts w:ascii="仿宋" w:eastAsia="仿宋"/>
        </w:rPr>
      </w:pPr>
      <w:r>
        <w:rPr>
          <w:rFonts w:hint="eastAsia" w:ascii="仿宋" w:eastAsia="仿宋"/>
        </w:rPr>
        <w:t>中国人民银行上海总部，各省、自治区、直辖市及计划单列市分行；国家外汇管理局各省、自治区、直辖市及计划单列市分局，中央外汇业务中心；国家开发银行，各政策性银行、国有商业银行，中国邮政储蓄银行，各股份制商业银行；外汇交易中心：</w:t>
      </w: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  <w:r>
        <w:rPr>
          <w:rFonts w:hint="eastAsia" w:ascii="仿宋" w:eastAsia="仿宋"/>
        </w:rPr>
        <w:t>为加大货币政策调控力度，保持流动性合理充裕，不断推动经济运行持续好转、内生动力持续增强、社会预期持续改善，中国人民银行决定下调金融机构存款准备金率。现就有关事项通知如下</w:t>
      </w:r>
      <w:r>
        <w:rPr>
          <w:rFonts w:ascii="仿宋" w:eastAsia="仿宋"/>
        </w:rPr>
        <w:t>:</w:t>
      </w: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  <w:r>
        <w:rPr>
          <w:rFonts w:hint="eastAsia" w:ascii="仿宋" w:eastAsia="仿宋"/>
        </w:rPr>
        <w:t>自</w:t>
      </w:r>
      <w:r>
        <w:rPr>
          <w:rFonts w:ascii="仿宋" w:eastAsia="仿宋"/>
        </w:rPr>
        <w:t>2023年9月15日起，下调金融机构人民币存款准备金率0.25个百分点。已执行5％人民币存款准备金率的金融机构存款准备金率保持不变。</w:t>
      </w: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  <w:r>
        <w:rPr>
          <w:rFonts w:hint="eastAsia" w:ascii="仿宋" w:eastAsia="仿宋"/>
        </w:rPr>
        <w:t>中国人民银行上海总部、各分行要严格按照有关规定做好此次存款准备金率调整工作，确保顺利实施，遇有重大紧急情况，及时报告总行。各金融机构应运用好降准资金，进一步加大对实体经济特别是重点领域和薄弱环节的信贷支持力度。</w:t>
      </w: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  <w:r>
        <w:rPr>
          <w:rFonts w:hint="eastAsia" w:ascii="仿宋" w:eastAsia="仿宋"/>
        </w:rPr>
        <w:t>联系电话：</w:t>
      </w:r>
      <w:r>
        <w:rPr>
          <w:rFonts w:ascii="仿宋" w:eastAsia="仿宋"/>
        </w:rPr>
        <w:t>010-66199922传真：010-66036043</w:t>
      </w: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ascii="仿宋" w:eastAsia="仿宋"/>
        </w:rPr>
      </w:pPr>
      <w:r>
        <w:rPr>
          <w:rFonts w:hint="eastAsia" w:ascii="仿宋" w:eastAsia="仿宋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ascii="仿宋" w:eastAsia="仿宋"/>
        </w:rPr>
      </w:pPr>
      <w:r>
        <w:rPr>
          <w:rFonts w:ascii="仿宋" w:eastAsia="仿宋"/>
        </w:rPr>
        <w:t>2023年9月14日</w:t>
      </w: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