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2"/>
        <w:rPr>
          <w:rFonts w:hint="eastAsia"/>
        </w:rPr>
      </w:pPr>
      <w:bookmarkStart w:id="1466" w:name="_Toc14965"/>
      <w:r>
        <w:rPr>
          <w:rFonts w:hint="eastAsia"/>
        </w:rPr>
        <w:t>574.5--中国人民银行关于下调金融机构存款准备金率的通知</w:t>
      </w:r>
      <w:r>
        <w:rPr>
          <w:rFonts w:hint="eastAsia"/>
        </w:rPr>
        <w:br w:type="textWrapping"/>
      </w:r>
      <w:r>
        <w:rPr>
          <w:rFonts w:hint="eastAsia"/>
        </w:rPr>
        <w:t>银发〔2024〕173号</w:t>
      </w:r>
      <w:bookmarkEnd w:id="1466"/>
    </w:p>
    <w:p>
      <w:pPr>
        <w:adjustRightInd w:val="0"/>
        <w:snapToGrid w:val="0"/>
        <w:spacing w:line="312" w:lineRule="auto"/>
        <w:rPr>
          <w:rFonts w:hint="eastAsia" w:ascii="仿宋" w:hAnsi="等线" w:eastAsia="仿宋" w:cs="仿宋"/>
          <w:szCs w:val="24"/>
        </w:rPr>
      </w:pPr>
      <w:r>
        <w:rPr>
          <w:rFonts w:hint="eastAsia" w:ascii="仿宋" w:hAnsi="等线" w:eastAsia="仿宋" w:cs="仿宋"/>
          <w:szCs w:val="24"/>
          <w:lang w:bidi="ar"/>
        </w:rPr>
        <w:t>中国人民银行上海总部，各省、自治区、直辖市分行，深圳市分行；国家开发银行，各政策性银行、国有商业银行，中国邮政储蓄银行，各股份制商业银行：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等线" w:eastAsia="仿宋" w:cs="仿宋"/>
          <w:szCs w:val="24"/>
        </w:rPr>
      </w:pPr>
      <w:r>
        <w:rPr>
          <w:rFonts w:hint="eastAsia" w:ascii="仿宋" w:hAnsi="等线" w:eastAsia="仿宋" w:cs="仿宋"/>
          <w:szCs w:val="24"/>
          <w:lang w:bidi="ar"/>
        </w:rPr>
        <w:t>为坚持支持性的货币政策立场，加大货币政策调控强度，提高货币政策调控精准性，中国人民银行决定下调金融机构存款准备金率。现就有关事项通知如下：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等线" w:eastAsia="仿宋" w:cs="仿宋"/>
          <w:szCs w:val="24"/>
        </w:rPr>
      </w:pPr>
      <w:r>
        <w:rPr>
          <w:rFonts w:hint="eastAsia" w:ascii="仿宋" w:hAnsi="等线" w:eastAsia="仿宋" w:cs="仿宋"/>
          <w:szCs w:val="24"/>
          <w:lang w:bidi="ar"/>
        </w:rPr>
        <w:t>一、自2024年9月27日起，下调国有商业银行、股份制商业银行、跨省经营的城市商业银行、外资银行和民营银行人民币存款准备金率0.5个百分点。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等线" w:eastAsia="仿宋" w:cs="仿宋"/>
          <w:szCs w:val="24"/>
        </w:rPr>
      </w:pPr>
      <w:r>
        <w:rPr>
          <w:rFonts w:hint="eastAsia" w:ascii="仿宋" w:hAnsi="等线" w:eastAsia="仿宋" w:cs="仿宋"/>
          <w:szCs w:val="24"/>
          <w:lang w:bidi="ar"/>
        </w:rPr>
        <w:t>二、已执行5％人民币存款准备金率的金融机构存款准备金率保持不变。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等线" w:eastAsia="仿宋" w:cs="仿宋"/>
          <w:szCs w:val="24"/>
        </w:rPr>
      </w:pPr>
      <w:r>
        <w:rPr>
          <w:rFonts w:hint="eastAsia" w:ascii="仿宋" w:hAnsi="等线" w:eastAsia="仿宋" w:cs="仿宋"/>
          <w:szCs w:val="24"/>
          <w:lang w:bidi="ar"/>
        </w:rPr>
        <w:t>中国人民银行上海总部，各省、自治区、直辖市分行，深圳市分行要严格按照有关规定做好此次存款准备金率调整工作，确保顺利实施，遇有重大紧急情况，及时报告总行。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等线" w:eastAsia="仿宋" w:cs="仿宋"/>
          <w:szCs w:val="24"/>
        </w:rPr>
      </w:pP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等线" w:eastAsia="仿宋" w:cs="仿宋"/>
          <w:szCs w:val="24"/>
        </w:rPr>
      </w:pPr>
      <w:r>
        <w:rPr>
          <w:rFonts w:hint="eastAsia" w:ascii="仿宋" w:hAnsi="等线" w:eastAsia="仿宋" w:cs="仿宋"/>
          <w:szCs w:val="24"/>
          <w:lang w:bidi="ar"/>
        </w:rPr>
        <w:t>中国人民银行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等线" w:eastAsia="仿宋" w:cs="仿宋"/>
          <w:szCs w:val="24"/>
        </w:rPr>
      </w:pPr>
      <w:r>
        <w:rPr>
          <w:rFonts w:hint="eastAsia" w:ascii="仿宋" w:hAnsi="等线" w:eastAsia="仿宋" w:cs="仿宋"/>
          <w:szCs w:val="24"/>
          <w:lang w:bidi="ar"/>
        </w:rPr>
        <w:t>2024年9月23日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等线" w:eastAsia="仿宋" w:cs="仿宋"/>
          <w:szCs w:val="24"/>
        </w:rPr>
      </w:pPr>
    </w:p>
    <w:p>
      <w:pPr>
        <w:widowControl/>
        <w:jc w:val="left"/>
        <w:rPr>
          <w:rFonts w:hint="eastAsia" w:ascii="仿宋" w:hAnsi="仿宋" w:eastAsia="仿宋" w:cs="仿宋"/>
          <w:szCs w:val="21"/>
        </w:rPr>
      </w:pPr>
    </w:p>
    <w:p>
      <w:pPr>
        <w:widowControl/>
        <w:jc w:val="left"/>
        <w:rPr>
          <w:rFonts w:hint="eastAsia"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br w:type="page"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