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482" w:name="_Toc6051"/>
      <w:r>
        <w:rPr>
          <w:rFonts w:hint="eastAsia"/>
        </w:rPr>
        <w:t xml:space="preserve">589--关于废止11件规章的公告 </w:t>
      </w:r>
      <w:r>
        <w:rPr>
          <w:rFonts w:hint="eastAsia"/>
        </w:rPr>
        <w:br w:type="textWrapping"/>
      </w:r>
      <w:r>
        <w:rPr>
          <w:rFonts w:hint="eastAsia"/>
        </w:rPr>
        <w:t>中国人民银行令〔2023〕第2号</w:t>
      </w:r>
      <w:bookmarkEnd w:id="1482"/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为加强金融法治建设，推进完善央行金融法治体系，中国人民银行对2021年12月31日之前发布的规章进行了清理。现决定废止《现金管理暂行条例实施细则》（银发〔1988〕288号文印发）等11件规章。本决定已经2022年12月7日中国人民银行2022年第10次行务会议审议通过，现予发布，自发布之日起施行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附件：废止的规章目录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行长易纲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2023年3月16日</w:t>
      </w:r>
    </w:p>
    <w:p>
      <w:pPr>
        <w:adjustRightInd w:val="0"/>
        <w:snapToGrid w:val="0"/>
        <w:spacing w:line="312" w:lineRule="auto"/>
        <w:ind w:firstLine="398" w:firstLineChars="200"/>
        <w:rPr>
          <w:rFonts w:hint="eastAsia" w:ascii="仿宋" w:hAnsi="仿宋" w:eastAsia="仿宋" w:cs="仿宋"/>
          <w:b/>
          <w:bCs/>
          <w:spacing w:val="-6"/>
          <w:szCs w:val="31"/>
        </w:rPr>
      </w:pPr>
      <w:r>
        <w:rPr>
          <w:rFonts w:hint="eastAsia" w:ascii="仿宋" w:hAnsi="仿宋" w:eastAsia="仿宋" w:cs="仿宋"/>
          <w:b/>
          <w:bCs/>
          <w:spacing w:val="-6"/>
          <w:szCs w:val="31"/>
        </w:rPr>
        <w:t>附件</w:t>
      </w:r>
    </w:p>
    <w:p>
      <w:pPr>
        <w:adjustRightInd w:val="0"/>
        <w:snapToGrid w:val="0"/>
        <w:spacing w:line="312" w:lineRule="auto"/>
        <w:ind w:firstLine="452" w:firstLineChars="200"/>
        <w:jc w:val="center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pacing w:val="8"/>
          <w:szCs w:val="31"/>
        </w:rPr>
        <w:t>废止的规章目录</w:t>
      </w:r>
    </w:p>
    <w:tbl>
      <w:tblPr>
        <w:tblStyle w:val="27"/>
        <w:tblW w:w="7889" w:type="dxa"/>
        <w:tblInd w:w="41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3451"/>
        <w:gridCol w:w="37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</w:t>
            </w:r>
          </w:p>
        </w:tc>
        <w:tc>
          <w:tcPr>
            <w:tcW w:w="34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现金管理暂行条例实施细则</w:t>
            </w:r>
          </w:p>
        </w:tc>
        <w:tc>
          <w:tcPr>
            <w:tcW w:w="377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银发〔1988〕288号文印发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5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违反银行结算制度处罚规定(修正)</w:t>
            </w:r>
          </w:p>
        </w:tc>
        <w:tc>
          <w:tcPr>
            <w:tcW w:w="37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银发〔1994〕254号文颁布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5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公开市场业务暨一级交易商管理暂行规定</w:t>
            </w:r>
          </w:p>
        </w:tc>
        <w:tc>
          <w:tcPr>
            <w:tcW w:w="37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银发〔1997〕111号文印发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5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非银行金融机构外汇业务范围界定</w:t>
            </w:r>
          </w:p>
        </w:tc>
        <w:tc>
          <w:tcPr>
            <w:tcW w:w="37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(96)汇管函字第142号文颁发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5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境内机构借用国际商业贷款管理办法</w:t>
            </w:r>
          </w:p>
        </w:tc>
        <w:tc>
          <w:tcPr>
            <w:tcW w:w="37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(97)汇政发字06号文印发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5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外债统计监测实施细则</w:t>
            </w:r>
          </w:p>
        </w:tc>
        <w:tc>
          <w:tcPr>
            <w:tcW w:w="37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(97)汇政发字第06号文印发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5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境内外汇划转管理暂行规定</w:t>
            </w:r>
          </w:p>
        </w:tc>
        <w:tc>
          <w:tcPr>
            <w:tcW w:w="37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(97)汇管函字第250号文印发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65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关于对违反售付汇管理规定的金融机构及其责任人行政处分的规定</w:t>
            </w:r>
          </w:p>
        </w:tc>
        <w:tc>
          <w:tcPr>
            <w:tcW w:w="37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银发〔1998〕331号文印发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5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证券公司进入银行间同业市场管理规定</w:t>
            </w:r>
          </w:p>
        </w:tc>
        <w:tc>
          <w:tcPr>
            <w:tcW w:w="37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银发〔1999〕288号文印发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5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基金管理公司进入银行间同业市场管理规定</w:t>
            </w:r>
          </w:p>
        </w:tc>
        <w:tc>
          <w:tcPr>
            <w:tcW w:w="37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银发〔1999〕288号文印发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65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财务公司进入全国银行间同业拆借市场和债券市场管理规定</w:t>
            </w:r>
          </w:p>
        </w:tc>
        <w:tc>
          <w:tcPr>
            <w:tcW w:w="377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60" w:line="276" w:lineRule="auto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银发〔2000〕194号文印发</w:t>
            </w:r>
          </w:p>
        </w:tc>
      </w:tr>
    </w:tbl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