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r>
        <w:rPr>
          <w:rFonts w:ascii="宋体" w:hAnsi="宋体" w:eastAsia="宋体"/>
        </w:rPr>
        <w:br w:type="page"/>
      </w:r>
      <w:bookmarkStart w:id="1488" w:name="_Toc983"/>
      <w:r>
        <w:rPr>
          <w:rFonts w:hint="eastAsia"/>
        </w:rPr>
        <w:t>5</w:t>
      </w:r>
      <w:r>
        <w:t>95--</w:t>
      </w:r>
      <w:r>
        <w:rPr>
          <w:rFonts w:hint="eastAsia"/>
        </w:rPr>
        <w:t>中国人民银行 中国银行保险监督管理委员会</w:t>
      </w:r>
      <w:r>
        <w:br w:type="textWrapping"/>
      </w:r>
      <w:r>
        <w:rPr>
          <w:rFonts w:hint="eastAsia"/>
        </w:rPr>
        <w:t xml:space="preserve">关于做好当前金融支持房地产市场平稳健康发展工作的通知 </w:t>
      </w:r>
      <w:r>
        <w:br w:type="textWrapping"/>
      </w:r>
      <w:r>
        <w:rPr>
          <w:rFonts w:hint="eastAsia"/>
        </w:rPr>
        <w:t>银发〔</w:t>
      </w:r>
      <w:r>
        <w:t>2022〕254号</w:t>
      </w:r>
      <w:bookmarkEnd w:id="1488"/>
    </w:p>
    <w:p>
      <w:pPr>
        <w:adjustRightInd w:val="0"/>
        <w:snapToGrid w:val="0"/>
        <w:spacing w:line="312" w:lineRule="auto"/>
        <w:ind w:firstLine="420" w:firstLineChars="200"/>
        <w:rPr>
          <w:rFonts w:ascii="仿宋" w:eastAsia="仿宋"/>
        </w:rPr>
      </w:pPr>
      <w:r>
        <w:rPr>
          <w:rFonts w:hint="eastAsia" w:ascii="仿宋" w:eastAsia="仿宋"/>
        </w:rPr>
        <w:t>为贯彻落实党中央、国务院决策部署，坚持房子是用来住的、不是用来炒的定位，全面落实房地产长效机制，因城施策支持刚性和改善性住房需求，保持房地产融资合理适度，维护住房消费者合法权益，促进房地产市场平稳健康发展，现将有关事项通知如下：</w:t>
      </w:r>
    </w:p>
    <w:p>
      <w:pPr>
        <w:adjustRightInd w:val="0"/>
        <w:snapToGrid w:val="0"/>
        <w:spacing w:line="312" w:lineRule="auto"/>
        <w:ind w:firstLine="420" w:firstLineChars="200"/>
        <w:rPr>
          <w:rFonts w:ascii="仿宋" w:eastAsia="仿宋"/>
        </w:rPr>
      </w:pPr>
      <w:r>
        <w:rPr>
          <w:rFonts w:hint="eastAsia" w:ascii="仿宋" w:eastAsia="仿宋"/>
        </w:rPr>
        <w:t>一、保持房地产融资平稳有序</w:t>
      </w:r>
    </w:p>
    <w:p>
      <w:pPr>
        <w:adjustRightInd w:val="0"/>
        <w:snapToGrid w:val="0"/>
        <w:spacing w:line="312" w:lineRule="auto"/>
        <w:ind w:firstLine="420" w:firstLineChars="200"/>
        <w:rPr>
          <w:rFonts w:ascii="仿宋" w:eastAsia="仿宋"/>
        </w:rPr>
      </w:pPr>
      <w:r>
        <w:rPr>
          <w:rFonts w:hint="eastAsia" w:ascii="仿宋" w:eastAsia="仿宋"/>
        </w:rPr>
        <w:t>（一）稳定房地产开发贷款投放。坚持“两个毫不动摇”，对国有、民营等各类房地产企业一视同仁。鼓励金融机构重点支持治理完善、聚焦主业、资质良好的房地产企业稳健发展。金融机构要合理区分项目子公司风险与集团控股公司风险，在保证债权安全、资金封闭运作的前提下，按照市场化原则满足房地产项目合理融资需求。支持项目主办行和银团贷款模式，强化贷款审批、发放、收回全流程管理，切实保障资金安全。</w:t>
      </w:r>
    </w:p>
    <w:p>
      <w:pPr>
        <w:adjustRightInd w:val="0"/>
        <w:snapToGrid w:val="0"/>
        <w:spacing w:line="312" w:lineRule="auto"/>
        <w:ind w:firstLine="420" w:firstLineChars="200"/>
        <w:rPr>
          <w:rFonts w:ascii="仿宋" w:eastAsia="仿宋"/>
        </w:rPr>
      </w:pPr>
      <w:r>
        <w:rPr>
          <w:rFonts w:hint="eastAsia" w:ascii="仿宋" w:eastAsia="仿宋"/>
        </w:rPr>
        <w:t>（二）支持个人住房贷款合理需求。支持各地在全国政策基础上，因城施策实施好差别化住房信贷政策，合理确定当地个人住房贷款首付比例和贷款利率政策下限，支持刚性和改善性住房需求。鼓励金融机构结合自身经营情况、客户风险状况和信贷条件等，在城市政策下限基础上，合理确定个人住房贷款具体首付比例和利率水平。支持金融机构优化新市民住房金融服务，合理确定符合购房条件新市民首套住房个人住房贷款的标准，多维度科学审慎评估新市民信用水平，提升借款和还款便利度。</w:t>
      </w:r>
    </w:p>
    <w:p>
      <w:pPr>
        <w:adjustRightInd w:val="0"/>
        <w:snapToGrid w:val="0"/>
        <w:spacing w:line="312" w:lineRule="auto"/>
        <w:ind w:firstLine="420" w:firstLineChars="200"/>
        <w:rPr>
          <w:rFonts w:ascii="仿宋" w:eastAsia="仿宋"/>
        </w:rPr>
      </w:pPr>
      <w:r>
        <w:rPr>
          <w:rFonts w:hint="eastAsia" w:ascii="仿宋" w:eastAsia="仿宋"/>
        </w:rPr>
        <w:t>（三）稳定建筑企业信贷投放。鼓励金融机构在风险可控、商业可持续基础上，优化建筑企业信贷服务，提供必要的贷款支持，保持建筑企业融资连续稳定。</w:t>
      </w:r>
    </w:p>
    <w:p>
      <w:pPr>
        <w:adjustRightInd w:val="0"/>
        <w:snapToGrid w:val="0"/>
        <w:spacing w:line="312" w:lineRule="auto"/>
        <w:ind w:firstLine="420" w:firstLineChars="200"/>
        <w:rPr>
          <w:rFonts w:ascii="仿宋" w:eastAsia="仿宋"/>
        </w:rPr>
      </w:pPr>
      <w:r>
        <w:rPr>
          <w:rFonts w:hint="eastAsia" w:ascii="仿宋" w:eastAsia="仿宋"/>
        </w:rPr>
        <w:t>（四）支持开发贷款、信托贷款等存量融资合理展期。对于房地产企业开发贷款、信托贷款等存量融资，在保证债权安全的前提下，鼓励金融机构与房地产企业基于商业性原则自主协商，积极通过存量贷款展期、调整还款安排等方式予以支持，促进项目完工交付。自本通知印发之日起，未来半年内到期的，可以允许超出原规定多展期</w:t>
      </w:r>
      <w:r>
        <w:rPr>
          <w:rFonts w:ascii="仿宋" w:eastAsia="仿宋"/>
        </w:rPr>
        <w:t>1年，可不调整贷款分类，报送征信系统的贷款分类与之保持一致。</w:t>
      </w:r>
    </w:p>
    <w:p>
      <w:pPr>
        <w:adjustRightInd w:val="0"/>
        <w:snapToGrid w:val="0"/>
        <w:spacing w:line="312" w:lineRule="auto"/>
        <w:ind w:firstLine="420" w:firstLineChars="200"/>
        <w:rPr>
          <w:rFonts w:ascii="仿宋" w:eastAsia="仿宋"/>
        </w:rPr>
      </w:pPr>
      <w:r>
        <w:rPr>
          <w:rFonts w:hint="eastAsia" w:ascii="仿宋" w:eastAsia="仿宋"/>
        </w:rPr>
        <w:t>（五）保持债券融资基本稳定。支持优质房地产企业发行债券融资。推动专业信用增进机构为财务总体健康、面临短期困难的房地产企业债券发行提供增信支持。鼓励债券发行人与持有人提前沟通，做好债券兑付资金安排。按期兑付确有困难的，通过协商做出合理展期、置换等安排，主动化解风险。支持债券发行人在境内外市场回购债券。</w:t>
      </w:r>
    </w:p>
    <w:p>
      <w:pPr>
        <w:adjustRightInd w:val="0"/>
        <w:snapToGrid w:val="0"/>
        <w:spacing w:line="312" w:lineRule="auto"/>
        <w:ind w:firstLine="420" w:firstLineChars="200"/>
        <w:rPr>
          <w:rFonts w:ascii="仿宋" w:eastAsia="仿宋"/>
        </w:rPr>
      </w:pPr>
      <w:r>
        <w:rPr>
          <w:rFonts w:hint="eastAsia" w:ascii="仿宋" w:eastAsia="仿宋"/>
        </w:rPr>
        <w:t>（六）保持信托等资管产品融资稳定。鼓励信托等资管产品支持房地产合理融资需求。鼓励信托公司等金融机构加快业务转型，在严格落实资管产品监管要求、做好风险防控的基础上，按市场化、法治化原则支持房地产企业和项目的合理融资需求，依法合规为房地产企业项目并购、商业养老地产、租赁住房建设等提供金融支持。</w:t>
      </w:r>
    </w:p>
    <w:p>
      <w:pPr>
        <w:adjustRightInd w:val="0"/>
        <w:snapToGrid w:val="0"/>
        <w:spacing w:line="312" w:lineRule="auto"/>
        <w:ind w:firstLine="420" w:firstLineChars="200"/>
        <w:rPr>
          <w:rFonts w:ascii="仿宋" w:eastAsia="仿宋"/>
        </w:rPr>
      </w:pPr>
      <w:r>
        <w:rPr>
          <w:rFonts w:hint="eastAsia" w:ascii="仿宋" w:eastAsia="仿宋"/>
        </w:rPr>
        <w:t>二、积极做好“保交楼”金融服务</w:t>
      </w:r>
    </w:p>
    <w:p>
      <w:pPr>
        <w:adjustRightInd w:val="0"/>
        <w:snapToGrid w:val="0"/>
        <w:spacing w:line="312" w:lineRule="auto"/>
        <w:ind w:firstLine="420" w:firstLineChars="200"/>
        <w:rPr>
          <w:rFonts w:ascii="仿宋" w:eastAsia="仿宋"/>
        </w:rPr>
      </w:pPr>
      <w:r>
        <w:rPr>
          <w:rFonts w:hint="eastAsia" w:ascii="仿宋" w:eastAsia="仿宋"/>
        </w:rPr>
        <w:t>（七）支持开发性政策性银行提供“保交楼”专项借款。支持国家开发银行、农业发展银行按照有关政策安排和要求，依法合规、高效有序地向经复核备案的借款主体发放“保交楼”专项借款，封闭运行、专款专用，专项用于支持已售逾期难交付住宅项目加快建设交付。</w:t>
      </w:r>
    </w:p>
    <w:p>
      <w:pPr>
        <w:adjustRightInd w:val="0"/>
        <w:snapToGrid w:val="0"/>
        <w:spacing w:line="312" w:lineRule="auto"/>
        <w:ind w:firstLine="420" w:firstLineChars="200"/>
        <w:rPr>
          <w:rFonts w:ascii="仿宋" w:eastAsia="仿宋"/>
        </w:rPr>
      </w:pPr>
      <w:r>
        <w:rPr>
          <w:rFonts w:hint="eastAsia" w:ascii="仿宋" w:eastAsia="仿宋"/>
        </w:rPr>
        <w:t>（八）鼓励金融机构提供配套融资支持。在专项借款支持项目明确债权债务安排、专项借款和新增配套融资司法保障后，鼓励金融机构特别是项目个人住房贷款的主融资商业银行或其牵头组建的银团，按照市场化、法治化原则，为专项借款支持项目提供新增配套融资支持，推动化解未交楼个人住房贷款风险。</w:t>
      </w:r>
    </w:p>
    <w:p>
      <w:pPr>
        <w:adjustRightInd w:val="0"/>
        <w:snapToGrid w:val="0"/>
        <w:spacing w:line="312" w:lineRule="auto"/>
        <w:ind w:firstLine="420" w:firstLineChars="200"/>
        <w:rPr>
          <w:rFonts w:ascii="仿宋" w:eastAsia="仿宋"/>
        </w:rPr>
      </w:pPr>
      <w:r>
        <w:rPr>
          <w:rFonts w:hint="eastAsia" w:ascii="仿宋" w:eastAsia="仿宋"/>
        </w:rPr>
        <w:t>对于剩余货值的销售回款可同时覆盖专项借款和新增配套融资的项目，以及剩余货值的销售回款不能同时覆盖专项借款和新增配套融资，但已明确新增配套融资和专项借款配套机制安排并落实还款来源的项目，鼓励金融机构在商业自愿前提下积极提供新增配套融资支持。</w:t>
      </w:r>
    </w:p>
    <w:p>
      <w:pPr>
        <w:adjustRightInd w:val="0"/>
        <w:snapToGrid w:val="0"/>
        <w:spacing w:line="312" w:lineRule="auto"/>
        <w:ind w:firstLine="420" w:firstLineChars="200"/>
        <w:rPr>
          <w:rFonts w:ascii="仿宋" w:eastAsia="仿宋"/>
        </w:rPr>
      </w:pPr>
      <w:r>
        <w:rPr>
          <w:rFonts w:hint="eastAsia" w:ascii="仿宋" w:eastAsia="仿宋"/>
        </w:rPr>
        <w:t>新增配套融资的承贷主体应与专项借款支持项目的实施主体保持一致，项目存量资产负债应经地方政府组织有资质机构进行审计评估确认并已制定“一楼一策”实施方案。商业银行可在房地产开发贷款项下新设“专项借款配套融资”子科目用于统计和管理。配套融资原则上不应超过对应专项借款的期限，最长不超过</w:t>
      </w:r>
      <w:r>
        <w:rPr>
          <w:rFonts w:ascii="仿宋" w:eastAsia="仿宋"/>
        </w:rPr>
        <w:t>3年。项目销售回款应当划入在主融资商业银行或其他商业银行开立的项目专用账户，项目专用账户由提供新增配套融资的商业银行参与共同管理。明确按照“后进先出”原则，项目剩余货值的销售回款要优先偿还新增配套融资和专项借款。</w:t>
      </w:r>
    </w:p>
    <w:p>
      <w:pPr>
        <w:adjustRightInd w:val="0"/>
        <w:snapToGrid w:val="0"/>
        <w:spacing w:line="312" w:lineRule="auto"/>
        <w:ind w:firstLine="420" w:firstLineChars="200"/>
        <w:rPr>
          <w:rFonts w:ascii="仿宋" w:eastAsia="仿宋"/>
        </w:rPr>
      </w:pPr>
      <w:r>
        <w:rPr>
          <w:rFonts w:hint="eastAsia" w:ascii="仿宋" w:eastAsia="仿宋"/>
        </w:rPr>
        <w:t>对于商业银行按照本通知要求，自本通知印发之日起半年内，向专项借款支持项目发放的配套融资，在贷款期限内不下调风险分类；对债务新老划断后的承贷主体按照合格借款主体管理。对于新发放的配套融资形成不良的，相关机构和人员已尽职的，可予免责。</w:t>
      </w:r>
    </w:p>
    <w:p>
      <w:pPr>
        <w:adjustRightInd w:val="0"/>
        <w:snapToGrid w:val="0"/>
        <w:spacing w:line="312" w:lineRule="auto"/>
        <w:ind w:firstLine="420" w:firstLineChars="200"/>
        <w:rPr>
          <w:rFonts w:ascii="仿宋" w:eastAsia="仿宋"/>
        </w:rPr>
      </w:pPr>
      <w:r>
        <w:rPr>
          <w:rFonts w:hint="eastAsia" w:ascii="仿宋" w:eastAsia="仿宋"/>
        </w:rPr>
        <w:t>三、积极配合做好受困房地产企业风险处置</w:t>
      </w:r>
    </w:p>
    <w:p>
      <w:pPr>
        <w:adjustRightInd w:val="0"/>
        <w:snapToGrid w:val="0"/>
        <w:spacing w:line="312" w:lineRule="auto"/>
        <w:ind w:firstLine="420" w:firstLineChars="200"/>
        <w:rPr>
          <w:rFonts w:ascii="仿宋" w:eastAsia="仿宋"/>
        </w:rPr>
      </w:pPr>
      <w:r>
        <w:rPr>
          <w:rFonts w:hint="eastAsia" w:ascii="仿宋" w:eastAsia="仿宋"/>
        </w:rPr>
        <w:t>（九）做好房地产项目并购金融支持。鼓励商业银行稳妥有序开展房地产项目并购贷款业务，重点支持优质房地产企业兼并收购受困房地产企业项目。鼓励金融资产管理公司、地方资产管理公司（以下统称资产管理公司）发挥在不良资产处置、风险管理等方面的经验和能力，与地方政府、商业银行、房地产企业等共同协商风险化解模式，推动加快资产处置。鼓励资产管理公司与律师事务所、会计师事务所等第三方机构开展合作，提高资产处置效率。支持符合条件的商业银行、金融资产管理公司发行房地产项目并购主题金融债券。</w:t>
      </w:r>
    </w:p>
    <w:p>
      <w:pPr>
        <w:adjustRightInd w:val="0"/>
        <w:snapToGrid w:val="0"/>
        <w:spacing w:line="312" w:lineRule="auto"/>
        <w:ind w:firstLine="420" w:firstLineChars="200"/>
        <w:rPr>
          <w:rFonts w:ascii="仿宋" w:eastAsia="仿宋"/>
        </w:rPr>
      </w:pPr>
      <w:r>
        <w:rPr>
          <w:rFonts w:hint="eastAsia" w:ascii="仿宋" w:eastAsia="仿宋"/>
        </w:rPr>
        <w:t>（十）积极探索市场化支持方式。对于部分已进入司法重整的项目，金融机构可按自主决策、自担风险、自负盈亏原则，一企一策协助推进项目复工交付。鼓励资产管理公司通过担任破产管理人、重整投资人等方式参与项目处置。支持有条件的金融机构稳妥探索通过设立基金等方式，依法依规市场化化解受困房地产企业风险，支持项目完工交付。</w:t>
      </w:r>
    </w:p>
    <w:p>
      <w:pPr>
        <w:adjustRightInd w:val="0"/>
        <w:snapToGrid w:val="0"/>
        <w:spacing w:line="312" w:lineRule="auto"/>
        <w:ind w:firstLine="420" w:firstLineChars="200"/>
        <w:rPr>
          <w:rFonts w:ascii="仿宋" w:eastAsia="仿宋"/>
        </w:rPr>
      </w:pPr>
      <w:r>
        <w:rPr>
          <w:rFonts w:hint="eastAsia" w:ascii="仿宋" w:eastAsia="仿宋"/>
        </w:rPr>
        <w:t>四、依法保障住房金融消费者合法权益</w:t>
      </w:r>
    </w:p>
    <w:p>
      <w:pPr>
        <w:adjustRightInd w:val="0"/>
        <w:snapToGrid w:val="0"/>
        <w:spacing w:line="312" w:lineRule="auto"/>
        <w:ind w:firstLine="420" w:firstLineChars="200"/>
        <w:rPr>
          <w:rFonts w:ascii="仿宋" w:eastAsia="仿宋"/>
        </w:rPr>
      </w:pPr>
      <w:r>
        <w:rPr>
          <w:rFonts w:hint="eastAsia" w:ascii="仿宋" w:eastAsia="仿宋"/>
        </w:rPr>
        <w:t>（十一）鼓励依法自主协商延期还本付息。对于因疫情住院治疗或隔离，或因疫情停业失业而失去收入来源的个人，以及因购房合同发生改变或解除的个人住房贷款，金融机构可按市场化、法治化原则与购房人自主开展协商，进行延期展期等调整，相关方都要依法依规、信守合同、践行承诺。在此过程中，金融机构要做好客户服务工作，加强沟通，依法保障金融消费者合法权益，同时按相关规定做好资产分类。对于恶意逃废金融债务的行为，依法依规予以处理，维护良好市场秩序。</w:t>
      </w:r>
    </w:p>
    <w:p>
      <w:pPr>
        <w:adjustRightInd w:val="0"/>
        <w:snapToGrid w:val="0"/>
        <w:spacing w:line="312" w:lineRule="auto"/>
        <w:ind w:firstLine="420" w:firstLineChars="200"/>
        <w:rPr>
          <w:rFonts w:ascii="仿宋" w:eastAsia="仿宋"/>
        </w:rPr>
      </w:pPr>
      <w:r>
        <w:rPr>
          <w:rFonts w:hint="eastAsia" w:ascii="仿宋" w:eastAsia="仿宋"/>
        </w:rPr>
        <w:t>（十二）切实保护延期贷款的个人征信权益。个人住房贷款已调整还款安排的，金融机构按新的还款安排报送信用记录；经人民法院判决、裁定认定应予调整的，金融机构根据人民法院生效判决、裁定等调整信用记录报送，已报送的予以调整。金融机构应妥善处置相关征信异议，依法保护信息主体征信权益。</w:t>
      </w:r>
    </w:p>
    <w:p>
      <w:pPr>
        <w:adjustRightInd w:val="0"/>
        <w:snapToGrid w:val="0"/>
        <w:spacing w:line="312" w:lineRule="auto"/>
        <w:ind w:firstLine="420" w:firstLineChars="200"/>
        <w:rPr>
          <w:rFonts w:ascii="仿宋" w:eastAsia="仿宋"/>
        </w:rPr>
      </w:pPr>
      <w:r>
        <w:rPr>
          <w:rFonts w:hint="eastAsia" w:ascii="仿宋" w:eastAsia="仿宋"/>
        </w:rPr>
        <w:t>五、阶段性调整部分金融管理政策</w:t>
      </w:r>
    </w:p>
    <w:p>
      <w:pPr>
        <w:adjustRightInd w:val="0"/>
        <w:snapToGrid w:val="0"/>
        <w:spacing w:line="312" w:lineRule="auto"/>
        <w:ind w:firstLine="420" w:firstLineChars="200"/>
        <w:rPr>
          <w:rFonts w:ascii="仿宋" w:eastAsia="仿宋"/>
        </w:rPr>
      </w:pPr>
      <w:r>
        <w:rPr>
          <w:rFonts w:hint="eastAsia" w:ascii="仿宋" w:eastAsia="仿宋"/>
        </w:rPr>
        <w:t>（十三）延长房地产贷款集中度管理政策过渡期安排。对于受疫情等客观原因影响不能如期满足房地产贷款集中度管理要求的银行业金融机构，人民银行、银保监会或人民银行分支机构、银保监会派出机构根据房地产贷款集中度管理有关规定，基于实际情况并经客观评估，合理延长其过渡期。</w:t>
      </w:r>
    </w:p>
    <w:p>
      <w:pPr>
        <w:adjustRightInd w:val="0"/>
        <w:snapToGrid w:val="0"/>
        <w:spacing w:line="312" w:lineRule="auto"/>
        <w:ind w:firstLine="420" w:firstLineChars="200"/>
        <w:rPr>
          <w:rFonts w:ascii="仿宋" w:eastAsia="仿宋"/>
        </w:rPr>
      </w:pPr>
      <w:r>
        <w:rPr>
          <w:rFonts w:hint="eastAsia" w:ascii="仿宋" w:eastAsia="仿宋"/>
        </w:rPr>
        <w:t>（十四）阶段性优化房地产项目并购融资政策。相关金融机构要用好人民银行、银保监会已出台的适用于主要商业银行、全国性金融资产管理公司的阶段性房地产金融管理政策，加快推动房地产风险市场化出清。</w:t>
      </w:r>
    </w:p>
    <w:p>
      <w:pPr>
        <w:adjustRightInd w:val="0"/>
        <w:snapToGrid w:val="0"/>
        <w:spacing w:line="312" w:lineRule="auto"/>
        <w:ind w:firstLine="420" w:firstLineChars="200"/>
        <w:rPr>
          <w:rFonts w:ascii="仿宋" w:eastAsia="仿宋"/>
        </w:rPr>
      </w:pPr>
      <w:r>
        <w:rPr>
          <w:rFonts w:hint="eastAsia" w:ascii="仿宋" w:eastAsia="仿宋"/>
        </w:rPr>
        <w:t>六、加大住房租赁金融支持力度</w:t>
      </w:r>
    </w:p>
    <w:p>
      <w:pPr>
        <w:adjustRightInd w:val="0"/>
        <w:snapToGrid w:val="0"/>
        <w:spacing w:line="312" w:lineRule="auto"/>
        <w:ind w:firstLine="420" w:firstLineChars="200"/>
        <w:rPr>
          <w:rFonts w:ascii="仿宋" w:eastAsia="仿宋"/>
        </w:rPr>
      </w:pPr>
      <w:r>
        <w:rPr>
          <w:rFonts w:hint="eastAsia" w:ascii="仿宋" w:eastAsia="仿宋"/>
        </w:rPr>
        <w:t>（十五）优化住房租赁信贷服务。引导金融机构重点加大对独立法人运营、业务边界清晰、具备房地产专业投资和管理能力的自持物业型住房租赁企业的信贷支持，合理设计贷款期限、利率和还款方式，积极满足企业中长期资金需求。鼓励金融机构按照市场化、法治化原则，为各类主体收购、改建房地产项目用于住房租赁提供资金支持。商业银行向持有保障性住房租赁项目认定书的保障性租赁住房项目发放的有关贷款，不纳入房地产贷款集中度管理。商业地产改造为保障性租赁住房，取得保障性租赁住房认定书后，银行发放贷款期限、利率适用保障性租赁贷款相关政策。</w:t>
      </w:r>
    </w:p>
    <w:p>
      <w:pPr>
        <w:adjustRightInd w:val="0"/>
        <w:snapToGrid w:val="0"/>
        <w:spacing w:line="312" w:lineRule="auto"/>
        <w:ind w:firstLine="420" w:firstLineChars="200"/>
        <w:rPr>
          <w:rFonts w:ascii="仿宋" w:eastAsia="仿宋"/>
        </w:rPr>
      </w:pPr>
      <w:r>
        <w:rPr>
          <w:rFonts w:hint="eastAsia" w:ascii="仿宋" w:eastAsia="仿宋"/>
        </w:rPr>
        <w:t>（十六）拓宽住房租赁市场多元化融资渠道。支持住房租赁企业发行信用债券和担保债券等直接融资产品，专项用于租赁住房建设和经营。鼓励商业银行发行支持住房租赁金融债券，筹集资金用于增加住房租赁开发建设贷款和经营性贷款投放。稳步推进房地产投资信托基金（</w:t>
      </w:r>
      <w:r>
        <w:rPr>
          <w:rFonts w:ascii="仿宋" w:eastAsia="仿宋"/>
        </w:rPr>
        <w:t>REITs）试点。</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hint="eastAsia" w:ascii="仿宋" w:eastAsia="仿宋"/>
        </w:rPr>
        <w:t>中国人民银行</w:t>
      </w:r>
    </w:p>
    <w:p>
      <w:pPr>
        <w:adjustRightInd w:val="0"/>
        <w:snapToGrid w:val="0"/>
        <w:spacing w:line="312" w:lineRule="auto"/>
        <w:ind w:firstLine="420" w:firstLineChars="200"/>
        <w:jc w:val="right"/>
        <w:rPr>
          <w:rFonts w:ascii="仿宋" w:eastAsia="仿宋"/>
        </w:rPr>
      </w:pPr>
      <w:r>
        <w:rPr>
          <w:rFonts w:hint="eastAsia" w:ascii="仿宋" w:eastAsia="仿宋"/>
        </w:rPr>
        <w:t>中国银保监会</w:t>
      </w:r>
    </w:p>
    <w:p>
      <w:pPr>
        <w:adjustRightInd w:val="0"/>
        <w:snapToGrid w:val="0"/>
        <w:spacing w:line="312" w:lineRule="auto"/>
        <w:ind w:firstLine="420" w:firstLineChars="200"/>
        <w:jc w:val="right"/>
        <w:rPr>
          <w:rFonts w:ascii="仿宋" w:eastAsia="仿宋"/>
        </w:rPr>
      </w:pPr>
      <w:r>
        <w:rPr>
          <w:rFonts w:ascii="仿宋" w:eastAsia="仿宋"/>
        </w:rPr>
        <w:t>2022年11月11日</w:t>
      </w:r>
    </w:p>
    <w:p>
      <w:pPr>
        <w:widowControl/>
        <w:jc w:val="left"/>
        <w:rPr>
          <w:rFonts w:ascii="仿宋" w:eastAsia="仿宋"/>
        </w:rPr>
      </w:pPr>
      <w:r>
        <w:rPr>
          <w:rFonts w:asci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