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89" w:name="_Toc29706"/>
      <w:r>
        <w:rPr>
          <w:rFonts w:hint="eastAsia"/>
        </w:rPr>
        <w:t>5</w:t>
      </w:r>
      <w:r>
        <w:t>95.1</w:t>
      </w:r>
      <w:r>
        <w:rPr>
          <w:rFonts w:hint="eastAsia"/>
        </w:rPr>
        <w:t>中国人民银行</w:t>
      </w:r>
      <w:r>
        <w:t xml:space="preserve"> 国家金融监督管理总局</w:t>
      </w:r>
      <w:r>
        <w:br w:type="textWrapping"/>
      </w:r>
      <w:r>
        <w:t>关于延长金融支持房地产市场平稳健康发展有关政策期限的通知</w:t>
      </w:r>
      <w:bookmarkEnd w:id="1489"/>
    </w:p>
    <w:p>
      <w:pPr>
        <w:adjustRightInd w:val="0"/>
        <w:snapToGrid w:val="0"/>
        <w:spacing w:line="312" w:lineRule="auto"/>
        <w:jc w:val="left"/>
        <w:rPr>
          <w:rFonts w:ascii="仿宋" w:eastAsia="仿宋"/>
        </w:rPr>
      </w:pPr>
    </w:p>
    <w:p>
      <w:pPr>
        <w:adjustRightInd w:val="0"/>
        <w:snapToGrid w:val="0"/>
        <w:spacing w:line="312" w:lineRule="auto"/>
        <w:jc w:val="left"/>
        <w:rPr>
          <w:rFonts w:ascii="仿宋" w:eastAsia="仿宋"/>
        </w:rPr>
      </w:pPr>
      <w:r>
        <w:rPr>
          <w:rFonts w:hint="eastAsia" w:ascii="仿宋" w:eastAsia="仿宋"/>
        </w:rPr>
        <w:t>中国人民银行上海总部，各分行、营业管理部，各省会（首府）城市中心支行、副省级城市中心支行；各银保监局；国家开发银行、农业发展银行，各国有商业银行，中国邮政储蓄银行，各股份制商业银行；各信托公司、保险公司、金融资产管理公司：</w:t>
      </w:r>
    </w:p>
    <w:p>
      <w:pPr>
        <w:adjustRightInd w:val="0"/>
        <w:snapToGrid w:val="0"/>
        <w:spacing w:line="312" w:lineRule="auto"/>
        <w:ind w:firstLine="420" w:firstLineChars="200"/>
        <w:jc w:val="left"/>
        <w:rPr>
          <w:rFonts w:ascii="仿宋" w:eastAsia="仿宋"/>
        </w:rPr>
      </w:pPr>
    </w:p>
    <w:p>
      <w:pPr>
        <w:adjustRightInd w:val="0"/>
        <w:snapToGrid w:val="0"/>
        <w:spacing w:line="312" w:lineRule="auto"/>
        <w:ind w:firstLine="420" w:firstLineChars="200"/>
        <w:rPr>
          <w:rFonts w:ascii="仿宋" w:eastAsia="仿宋"/>
        </w:rPr>
      </w:pPr>
      <w:r>
        <w:rPr>
          <w:rFonts w:hint="eastAsia" w:ascii="仿宋" w:eastAsia="仿宋"/>
        </w:rPr>
        <w:t>《中国人民银行</w:t>
      </w:r>
      <w:r>
        <w:rPr>
          <w:rFonts w:ascii="仿宋" w:eastAsia="仿宋"/>
        </w:rPr>
        <w:t xml:space="preserve"> 中国银行保险监督管理委员会关于做好当前金融支持房地产市场平稳健康发展工作的通知》有关政策有适用期限的，将适用期限统一延长至2024年12月31日。</w:t>
      </w:r>
    </w:p>
    <w:p>
      <w:pPr>
        <w:adjustRightInd w:val="0"/>
        <w:snapToGrid w:val="0"/>
        <w:spacing w:line="312" w:lineRule="auto"/>
        <w:ind w:firstLine="420" w:firstLineChars="200"/>
        <w:jc w:val="left"/>
        <w:rPr>
          <w:rFonts w:ascii="仿宋" w:eastAsia="仿宋"/>
        </w:rPr>
      </w:pPr>
    </w:p>
    <w:p>
      <w:pPr>
        <w:adjustRightInd w:val="0"/>
        <w:snapToGrid w:val="0"/>
        <w:spacing w:line="312" w:lineRule="auto"/>
        <w:ind w:firstLine="420" w:firstLineChars="200"/>
        <w:jc w:val="right"/>
        <w:rPr>
          <w:rFonts w:ascii="仿宋" w:eastAsia="仿宋"/>
        </w:rPr>
      </w:pPr>
      <w:r>
        <w:rPr>
          <w:rFonts w:ascii="仿宋" w:eastAsia="仿宋"/>
        </w:rPr>
        <w:t>中国人民银行</w:t>
      </w:r>
    </w:p>
    <w:p>
      <w:pPr>
        <w:adjustRightInd w:val="0"/>
        <w:snapToGrid w:val="0"/>
        <w:spacing w:line="312" w:lineRule="auto"/>
        <w:jc w:val="right"/>
        <w:rPr>
          <w:rFonts w:ascii="仿宋" w:eastAsia="仿宋"/>
        </w:rPr>
      </w:pPr>
      <w:r>
        <w:rPr>
          <w:rFonts w:hint="eastAsia" w:ascii="仿宋" w:eastAsia="仿宋"/>
        </w:rPr>
        <w:t>国家金融监督管理总局</w:t>
      </w:r>
    </w:p>
    <w:p>
      <w:pPr>
        <w:adjustRightInd w:val="0"/>
        <w:snapToGrid w:val="0"/>
        <w:spacing w:line="312" w:lineRule="auto"/>
        <w:ind w:firstLine="420" w:firstLineChars="200"/>
        <w:jc w:val="left"/>
        <w:rPr>
          <w:rFonts w:ascii="仿宋" w:eastAsia="仿宋"/>
        </w:rPr>
      </w:pPr>
    </w:p>
    <w:p>
      <w:pPr>
        <w:adjustRightInd w:val="0"/>
        <w:snapToGrid w:val="0"/>
        <w:spacing w:line="312" w:lineRule="auto"/>
        <w:ind w:firstLine="420" w:firstLineChars="200"/>
        <w:jc w:val="right"/>
        <w:rPr>
          <w:rFonts w:ascii="仿宋" w:eastAsia="仿宋"/>
        </w:rPr>
      </w:pPr>
      <w:r>
        <w:rPr>
          <w:rFonts w:ascii="仿宋" w:eastAsia="仿宋"/>
        </w:rPr>
        <w:t>2023年7月10日</w:t>
      </w:r>
    </w:p>
    <w:p>
      <w:pPr>
        <w:widowControl/>
        <w:jc w:val="left"/>
        <w:rPr>
          <w:rFonts w:ascii="仿宋" w:eastAsia="仿宋"/>
        </w:rPr>
      </w:pPr>
      <w:r>
        <w:rPr>
          <w:rFonts w:ascii="仿宋" w:eastAsia="仿宋"/>
        </w:rPr>
        <w:br w:type="page"/>
      </w:r>
    </w:p>
    <w:p>
      <w:pPr>
        <w:adjustRightInd w:val="0"/>
        <w:snapToGrid w:val="0"/>
        <w:spacing w:line="312" w:lineRule="auto"/>
        <w:ind w:firstLine="420" w:firstLineChars="200"/>
        <w:jc w:val="left"/>
        <w:rPr>
          <w:rFonts w:ascii="仿宋" w:eastAsia="仿宋"/>
        </w:rPr>
      </w:pPr>
    </w:p>
    <w:p>
      <w:pPr>
        <w:adjustRightInd w:val="0"/>
        <w:snapToGrid w:val="0"/>
        <w:spacing w:line="312" w:lineRule="auto"/>
        <w:ind w:firstLine="422" w:firstLineChars="200"/>
        <w:jc w:val="center"/>
        <w:rPr>
          <w:rFonts w:ascii="仿宋" w:eastAsia="仿宋"/>
          <w:b/>
          <w:bCs/>
        </w:rPr>
      </w:pPr>
      <w:r>
        <w:rPr>
          <w:rFonts w:hint="eastAsia" w:ascii="仿宋" w:eastAsia="仿宋"/>
          <w:b/>
          <w:bCs/>
        </w:rPr>
        <w:t>中国人民银行</w:t>
      </w:r>
      <w:r>
        <w:rPr>
          <w:rFonts w:ascii="仿宋" w:eastAsia="仿宋"/>
          <w:b/>
          <w:bCs/>
        </w:rPr>
        <w:t xml:space="preserve"> 国家金融监督管理总局有关负责人</w:t>
      </w:r>
    </w:p>
    <w:p>
      <w:pPr>
        <w:adjustRightInd w:val="0"/>
        <w:snapToGrid w:val="0"/>
        <w:spacing w:line="312" w:lineRule="auto"/>
        <w:ind w:firstLine="422" w:firstLineChars="200"/>
        <w:jc w:val="center"/>
        <w:rPr>
          <w:rFonts w:ascii="仿宋" w:eastAsia="仿宋"/>
          <w:b/>
          <w:bCs/>
        </w:rPr>
      </w:pPr>
      <w:r>
        <w:rPr>
          <w:rFonts w:hint="eastAsia" w:ascii="仿宋" w:eastAsia="仿宋"/>
          <w:b/>
          <w:bCs/>
        </w:rPr>
        <w:t>就延长金融支持房地产市场平稳健康发展有关政策</w:t>
      </w:r>
    </w:p>
    <w:p>
      <w:pPr>
        <w:adjustRightInd w:val="0"/>
        <w:snapToGrid w:val="0"/>
        <w:spacing w:line="312" w:lineRule="auto"/>
        <w:ind w:firstLine="422" w:firstLineChars="200"/>
        <w:jc w:val="center"/>
        <w:rPr>
          <w:rFonts w:ascii="仿宋" w:eastAsia="仿宋"/>
          <w:b/>
          <w:bCs/>
        </w:rPr>
      </w:pPr>
      <w:r>
        <w:rPr>
          <w:rFonts w:hint="eastAsia" w:ascii="仿宋" w:eastAsia="仿宋"/>
          <w:b/>
          <w:bCs/>
        </w:rPr>
        <w:t>期限的通知答记者问</w:t>
      </w:r>
    </w:p>
    <w:p>
      <w:pPr>
        <w:adjustRightInd w:val="0"/>
        <w:snapToGrid w:val="0"/>
        <w:spacing w:line="312" w:lineRule="auto"/>
        <w:ind w:firstLine="420" w:firstLineChars="200"/>
        <w:jc w:val="left"/>
        <w:rPr>
          <w:rFonts w:ascii="仿宋" w:eastAsia="仿宋"/>
        </w:rPr>
      </w:pPr>
    </w:p>
    <w:p>
      <w:pPr>
        <w:adjustRightInd w:val="0"/>
        <w:snapToGrid w:val="0"/>
        <w:spacing w:line="312" w:lineRule="auto"/>
        <w:ind w:firstLine="420" w:firstLineChars="200"/>
        <w:jc w:val="left"/>
        <w:rPr>
          <w:rFonts w:ascii="仿宋" w:eastAsia="仿宋"/>
        </w:rPr>
      </w:pPr>
      <w:r>
        <w:rPr>
          <w:rFonts w:hint="eastAsia" w:ascii="仿宋" w:eastAsia="仿宋"/>
        </w:rPr>
        <w:t>问：此项政策出台的背景是什么？</w:t>
      </w:r>
    </w:p>
    <w:p>
      <w:pPr>
        <w:adjustRightInd w:val="0"/>
        <w:snapToGrid w:val="0"/>
        <w:spacing w:line="312" w:lineRule="auto"/>
        <w:ind w:firstLine="420" w:firstLineChars="200"/>
        <w:jc w:val="left"/>
        <w:rPr>
          <w:rFonts w:ascii="仿宋" w:eastAsia="仿宋"/>
        </w:rPr>
      </w:pPr>
      <w:r>
        <w:rPr>
          <w:rFonts w:hint="eastAsia" w:ascii="仿宋" w:eastAsia="仿宋"/>
        </w:rPr>
        <w:t>答：</w:t>
      </w:r>
      <w:r>
        <w:rPr>
          <w:rFonts w:ascii="仿宋" w:eastAsia="仿宋"/>
        </w:rPr>
        <w:t>2022年11月11日，中国人民银行、原银保监会联合出台《关于做好当前金融支持房地产市场平稳健康发展工作的通知》（简称《通知》)，从保持房地产融资平稳有序、积极做好保交楼金融服务、配合做好受困房企风险处置、加大住房租赁金融支持等方面，明确了16条支持政策，其中两条政策规定了适用期限。《通知》发布实施后，对保持房地产融资合理适度、推动化解房地产企业风险发挥了积极作用，取得了良好的政策效果。综合考虑当前房地产市场形势，为引导金融机构继续对房地产企业存量融资展期，加大保交楼金融支持，中国人民银行、国家金融监督</w:t>
      </w:r>
      <w:r>
        <w:rPr>
          <w:rFonts w:hint="eastAsia" w:ascii="仿宋" w:eastAsia="仿宋"/>
        </w:rPr>
        <w:t>管理总局决定，延长有关政策适用期限。</w:t>
      </w:r>
    </w:p>
    <w:p>
      <w:pPr>
        <w:adjustRightInd w:val="0"/>
        <w:snapToGrid w:val="0"/>
        <w:spacing w:line="312" w:lineRule="auto"/>
        <w:ind w:firstLine="420" w:firstLineChars="200"/>
        <w:jc w:val="left"/>
        <w:rPr>
          <w:rFonts w:ascii="仿宋" w:eastAsia="仿宋"/>
        </w:rPr>
      </w:pPr>
    </w:p>
    <w:p>
      <w:pPr>
        <w:adjustRightInd w:val="0"/>
        <w:snapToGrid w:val="0"/>
        <w:spacing w:line="312" w:lineRule="auto"/>
        <w:ind w:firstLine="420" w:firstLineChars="200"/>
        <w:jc w:val="left"/>
        <w:rPr>
          <w:rFonts w:ascii="仿宋" w:eastAsia="仿宋"/>
        </w:rPr>
      </w:pPr>
      <w:r>
        <w:rPr>
          <w:rFonts w:hint="eastAsia" w:ascii="仿宋" w:eastAsia="仿宋"/>
        </w:rPr>
        <w:t>问：延期涉及哪两条政策？</w:t>
      </w:r>
    </w:p>
    <w:p>
      <w:pPr>
        <w:adjustRightInd w:val="0"/>
        <w:snapToGrid w:val="0"/>
        <w:spacing w:line="312" w:lineRule="auto"/>
        <w:ind w:firstLine="420" w:firstLineChars="200"/>
        <w:jc w:val="left"/>
        <w:rPr>
          <w:rFonts w:ascii="仿宋" w:eastAsia="仿宋"/>
        </w:rPr>
      </w:pPr>
      <w:r>
        <w:rPr>
          <w:rFonts w:hint="eastAsia" w:ascii="仿宋" w:eastAsia="仿宋"/>
        </w:rPr>
        <w:t>答：政策延期涉及两项内容：</w:t>
      </w:r>
    </w:p>
    <w:p>
      <w:pPr>
        <w:adjustRightInd w:val="0"/>
        <w:snapToGrid w:val="0"/>
        <w:spacing w:line="312" w:lineRule="auto"/>
        <w:ind w:firstLine="420" w:firstLineChars="200"/>
        <w:jc w:val="left"/>
        <w:rPr>
          <w:rFonts w:ascii="仿宋" w:eastAsia="仿宋"/>
        </w:rPr>
      </w:pPr>
      <w:r>
        <w:rPr>
          <w:rFonts w:hint="eastAsia" w:ascii="仿宋" w:eastAsia="仿宋"/>
        </w:rPr>
        <w:t>一是对于房地产企业开发贷款、信托贷款等存量融资，在保证债权安全的前提下，鼓励金融机构与房地产企业基于商业性原则自主协商，积极通过存量贷款展期、调整还款安排等方式予以支持，促进项目完工交付。</w:t>
      </w:r>
      <w:r>
        <w:rPr>
          <w:rFonts w:ascii="仿宋" w:eastAsia="仿宋"/>
        </w:rPr>
        <w:t>2024年12月31日前到期的，可以允许超出原规定多展期1年，可不调整贷款分类，报送征信系统的贷款分类与之保持一致。</w:t>
      </w:r>
    </w:p>
    <w:p>
      <w:pPr>
        <w:adjustRightInd w:val="0"/>
        <w:snapToGrid w:val="0"/>
        <w:spacing w:line="312" w:lineRule="auto"/>
        <w:ind w:firstLine="420" w:firstLineChars="200"/>
        <w:jc w:val="left"/>
        <w:rPr>
          <w:rFonts w:ascii="仿宋" w:eastAsia="仿宋"/>
        </w:rPr>
      </w:pPr>
      <w:r>
        <w:rPr>
          <w:rFonts w:hint="eastAsia" w:ascii="仿宋" w:eastAsia="仿宋"/>
        </w:rPr>
        <w:t>二是对于商业银行按照《通知》要求，</w:t>
      </w:r>
      <w:r>
        <w:rPr>
          <w:rFonts w:ascii="仿宋" w:eastAsia="仿宋"/>
        </w:rPr>
        <w:t>2024年12月31日前向专项借款支持项目发放的配套融资，在贷款期限内不下调风险分类；对债务新老划断后的承贷主体按照合格借款主体管理。对于新发放的配套融资形成不良的，相关机构和人员已尽职的，可予免责。</w:t>
      </w:r>
    </w:p>
    <w:p>
      <w:pPr>
        <w:adjustRightInd w:val="0"/>
        <w:snapToGrid w:val="0"/>
        <w:spacing w:line="312" w:lineRule="auto"/>
        <w:ind w:firstLine="420" w:firstLineChars="200"/>
        <w:jc w:val="left"/>
        <w:rPr>
          <w:rFonts w:ascii="仿宋" w:eastAsia="仿宋"/>
        </w:rPr>
      </w:pPr>
      <w:r>
        <w:rPr>
          <w:rFonts w:hint="eastAsia" w:ascii="仿宋" w:eastAsia="仿宋"/>
        </w:rPr>
        <w:t>除上述两条政策外，其他不涉及适用期限的政策长期有效。各金融机构应按照文件要求切实抓好落实，因城施策支持刚性和改善性住房需求，保持房地产融资合理适度，加大保交楼金融支持，推动行业风险市场化出清，促进房地产市场平稳健康发展</w:t>
      </w:r>
    </w:p>
    <w:p>
      <w:pPr>
        <w:widowControl/>
        <w:jc w:val="left"/>
        <w:rPr>
          <w:rFonts w:hint="eastAsia" w:ascii="宋体" w:hAnsi="宋体" w:eastAsia="宋体"/>
          <w:szCs w:val="21"/>
        </w:rPr>
      </w:pPr>
      <w:r>
        <w:rPr>
          <w:rFonts w:ascii="宋体" w:hAnsi="宋体" w:eastAsia="宋体"/>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