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widowControl/>
        <w:adjustRightInd w:val="0"/>
        <w:snapToGrid w:val="0"/>
        <w:spacing w:before="0" w:after="156" w:afterLines="50" w:line="240" w:lineRule="auto"/>
        <w:ind w:firstLine="0"/>
        <w:jc w:val="center"/>
        <w:rPr>
          <w:rFonts w:hint="eastAsia" w:ascii="仿宋" w:hAnsi="仿宋" w:eastAsia="仿宋" w:cs="仿宋"/>
          <w:b/>
          <w:bCs/>
          <w:kern w:val="44"/>
          <w:sz w:val="21"/>
          <w:szCs w:val="21"/>
          <w14:ligatures w14:val="none"/>
        </w:rPr>
      </w:pPr>
      <w:bookmarkStart w:id="1504" w:name="_Toc15415"/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t>606--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14:ligatures w14:val="none"/>
        </w:rPr>
        <w:t>中国人民银行 国家金融监督管理总局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14:ligatures w14:val="none"/>
        </w:rPr>
        <w:br w:type="textWrapping"/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14:ligatures w14:val="none"/>
        </w:rPr>
        <w:t>关于优化个人住房贷款最低首付款比例政策的通知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14:ligatures w14:val="none"/>
        </w:rPr>
        <w:br w:type="textWrapping"/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eastAsia="zh-CN"/>
          <w14:ligatures w14:val="none"/>
        </w:rPr>
        <w:t>银发〔</w:t>
      </w:r>
      <w:r>
        <w:rPr>
          <w:rFonts w:hint="default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t>2024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eastAsia="zh-CN"/>
          <w14:ligatures w14:val="none"/>
        </w:rPr>
        <w:t>〕</w:t>
      </w:r>
      <w:r>
        <w:rPr>
          <w:rFonts w:hint="default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t>172</w:t>
      </w:r>
      <w:r>
        <w:rPr>
          <w:rFonts w:hint="eastAsia" w:ascii="仿宋" w:hAnsi="仿宋" w:eastAsia="仿宋" w:cs="仿宋"/>
          <w:b/>
          <w:bCs/>
          <w:kern w:val="44"/>
          <w:sz w:val="21"/>
          <w:szCs w:val="21"/>
          <w:lang w:val="en-US" w:eastAsia="zh-CN"/>
          <w14:ligatures w14:val="none"/>
        </w:rPr>
        <w:t>号</w:t>
      </w:r>
      <w:bookmarkEnd w:id="1504"/>
    </w:p>
    <w:p>
      <w:pPr>
        <w:adjustRightInd w:val="0"/>
        <w:snapToGrid w:val="0"/>
        <w:spacing w:after="0" w:line="312" w:lineRule="auto"/>
        <w:jc w:val="both"/>
        <w:rPr>
          <w:rFonts w:ascii="仿宋" w:hAnsi="仿宋" w:eastAsia="仿宋"/>
          <w:sz w:val="21"/>
        </w:rPr>
      </w:pPr>
    </w:p>
    <w:p>
      <w:pPr>
        <w:adjustRightInd w:val="0"/>
        <w:snapToGrid w:val="0"/>
        <w:spacing w:after="0" w:line="312" w:lineRule="auto"/>
        <w:jc w:val="both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中国人民银行上海总部，各省、自治区、直辖市及计划单列市分行；国家金融监督管理总局各监管局；各国有商业银行，中国邮政储蓄银行，各股份制商业银行：</w:t>
      </w:r>
    </w:p>
    <w:p>
      <w:pPr>
        <w:adjustRightInd w:val="0"/>
        <w:snapToGrid w:val="0"/>
        <w:spacing w:after="0" w:line="312" w:lineRule="auto"/>
        <w:ind w:firstLine="420" w:firstLineChars="200"/>
        <w:jc w:val="both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为贯彻落实党中央、国务院决策部署，支持城乡居民刚性和多样化改善性住房需求，促进房地产市场平稳健康发展，现就个人住房贷款政策有关事项通知如下：</w:t>
      </w:r>
    </w:p>
    <w:p>
      <w:pPr>
        <w:adjustRightInd w:val="0"/>
        <w:snapToGrid w:val="0"/>
        <w:spacing w:after="0" w:line="312" w:lineRule="auto"/>
        <w:ind w:firstLine="420" w:firstLineChars="200"/>
        <w:jc w:val="both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对于贷款购买住房的居民家庭，商业性个人住房贷款不再区分首套、二套住房，最低首付款比例统一为不低于15%。</w:t>
      </w:r>
    </w:p>
    <w:p>
      <w:pPr>
        <w:adjustRightInd w:val="0"/>
        <w:snapToGrid w:val="0"/>
        <w:spacing w:after="0" w:line="312" w:lineRule="auto"/>
        <w:ind w:firstLine="420" w:firstLineChars="200"/>
        <w:jc w:val="both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在全国统一的最低首付款比例基础上，中国人民银行各省级分行、国家金融监督管理总局各派出机构按照因城施策原则，根据辖区各城市政府调控要求，自主确定辖区各城市是否设定差别化的最低首付款比例政策，并确定辖区各城市最低首付款比例下限。</w:t>
      </w:r>
    </w:p>
    <w:p>
      <w:pPr>
        <w:adjustRightInd w:val="0"/>
        <w:snapToGrid w:val="0"/>
        <w:spacing w:after="0" w:line="312" w:lineRule="auto"/>
        <w:ind w:firstLine="420" w:firstLineChars="200"/>
        <w:jc w:val="both"/>
        <w:rPr>
          <w:rFonts w:ascii="仿宋" w:hAnsi="仿宋" w:eastAsia="仿宋"/>
          <w:sz w:val="21"/>
        </w:rPr>
      </w:pPr>
    </w:p>
    <w:p>
      <w:pPr>
        <w:adjustRightInd w:val="0"/>
        <w:snapToGrid w:val="0"/>
        <w:spacing w:after="0" w:line="312" w:lineRule="auto"/>
        <w:ind w:firstLine="420" w:firstLineChars="200"/>
        <w:jc w:val="both"/>
        <w:rPr>
          <w:rFonts w:ascii="仿宋" w:hAnsi="仿宋" w:eastAsia="仿宋"/>
          <w:sz w:val="21"/>
        </w:rPr>
      </w:pPr>
    </w:p>
    <w:p>
      <w:pPr>
        <w:adjustRightInd w:val="0"/>
        <w:snapToGrid w:val="0"/>
        <w:spacing w:after="0" w:line="312" w:lineRule="auto"/>
        <w:ind w:firstLine="420" w:firstLineChars="200"/>
        <w:jc w:val="right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中国人民银行</w:t>
      </w:r>
    </w:p>
    <w:p>
      <w:pPr>
        <w:adjustRightInd w:val="0"/>
        <w:snapToGrid w:val="0"/>
        <w:spacing w:after="0" w:line="312" w:lineRule="auto"/>
        <w:ind w:firstLine="420" w:firstLineChars="200"/>
        <w:jc w:val="right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国家金融监督管理总局</w:t>
      </w:r>
    </w:p>
    <w:p>
      <w:pPr>
        <w:adjustRightInd w:val="0"/>
        <w:snapToGrid w:val="0"/>
        <w:spacing w:after="0" w:line="312" w:lineRule="auto"/>
        <w:ind w:firstLine="420" w:firstLineChars="200"/>
        <w:jc w:val="right"/>
        <w:rPr>
          <w:rFonts w:hint="eastAsia" w:ascii="仿宋" w:hAnsi="仿宋" w:eastAsia="仿宋"/>
          <w:sz w:val="21"/>
        </w:rPr>
      </w:pPr>
      <w:r>
        <w:rPr>
          <w:rFonts w:hint="eastAsia" w:ascii="仿宋" w:hAnsi="仿宋" w:eastAsia="仿宋"/>
          <w:sz w:val="21"/>
        </w:rPr>
        <w:t>2024年9月24日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