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22" w:name="_Toc518835969"/>
      <w:bookmarkStart w:id="323" w:name="_Toc17965"/>
      <w:r>
        <w:rPr>
          <w:rFonts w:hint="eastAsia"/>
        </w:rPr>
        <w:t>119</w:t>
      </w:r>
      <w:r>
        <w:t>--</w:t>
      </w:r>
      <w:r>
        <w:rPr>
          <w:rFonts w:hint="eastAsia"/>
        </w:rPr>
        <w:t>中国银监会关于印发2011年非现场监管报表的通知</w:t>
      </w:r>
      <w:r>
        <w:rPr>
          <w:rFonts w:hint="eastAsia"/>
        </w:rPr>
        <w:br w:type="textWrapping"/>
      </w:r>
      <w:r>
        <w:rPr>
          <w:rFonts w:hint="eastAsia"/>
        </w:rPr>
        <w:t>（银监发〔2010〕112号）</w:t>
      </w:r>
      <w:bookmarkEnd w:id="322"/>
      <w:bookmarkEnd w:id="323"/>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各银监局，各政策性银行、国有商业银行、股份制商业银行、金融资产管理公司，邮政储蓄银行，各省级农村信用联社，银监会直接监管的信托公司、企业集团财务公司、金融租赁公司：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为全面反映国际监管新规则对我国银行业金融机构的影响，更好地满足监管工作需要，银监会对非现场监管报表进行了修订，拟于2011年实施。现将有关要求通知</w:t>
      </w:r>
      <w:r>
        <w:rPr>
          <w:rFonts w:ascii="仿宋" w:hAnsi="仿宋" w:eastAsia="仿宋"/>
        </w:rPr>
        <w:br w:type="textWrapping"/>
      </w:r>
      <w:r>
        <w:rPr>
          <w:rFonts w:ascii="仿宋" w:hAnsi="仿宋" w:eastAsia="仿宋"/>
        </w:rPr>
        <w:t>如下，请遵照执行。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一、基础报表内容调整</w:t>
      </w:r>
    </w:p>
    <w:p>
      <w:pPr>
        <w:adjustRightInd w:val="0"/>
        <w:snapToGrid w:val="0"/>
        <w:spacing w:line="312" w:lineRule="auto"/>
        <w:ind w:firstLine="420" w:firstLineChars="200"/>
        <w:rPr>
          <w:rFonts w:hint="eastAsia" w:ascii="仿宋" w:hAnsi="仿宋" w:eastAsia="仿宋"/>
        </w:rPr>
      </w:pPr>
      <w:r>
        <w:rPr>
          <w:rFonts w:ascii="仿宋" w:hAnsi="仿宋" w:eastAsia="仿宋"/>
        </w:rPr>
        <w:t>2011年非现场监管报表新增了杠杆率、流动性覆盖率和净稳定融资比例等内容，细化了对存贷款月日均情况、贷款行业投向分类的监测，完善了对授信集中度的计算方法。</w:t>
      </w:r>
    </w:p>
    <w:p>
      <w:pPr>
        <w:adjustRightInd w:val="0"/>
        <w:snapToGrid w:val="0"/>
        <w:spacing w:line="312" w:lineRule="auto"/>
        <w:ind w:firstLine="420" w:firstLineChars="200"/>
        <w:rPr>
          <w:rFonts w:hint="eastAsia" w:ascii="仿宋" w:hAnsi="仿宋" w:eastAsia="仿宋"/>
        </w:rPr>
      </w:pPr>
      <w:r>
        <w:rPr>
          <w:rFonts w:ascii="仿宋" w:hAnsi="仿宋" w:eastAsia="仿宋"/>
        </w:rPr>
        <w:t>（一）月报内容调整</w:t>
      </w:r>
    </w:p>
    <w:p>
      <w:pPr>
        <w:adjustRightInd w:val="0"/>
        <w:snapToGrid w:val="0"/>
        <w:spacing w:line="312" w:lineRule="auto"/>
        <w:ind w:firstLine="420" w:firstLineChars="200"/>
        <w:rPr>
          <w:rFonts w:hint="eastAsia" w:ascii="仿宋" w:hAnsi="仿宋" w:eastAsia="仿宋"/>
        </w:rPr>
      </w:pPr>
      <w:r>
        <w:rPr>
          <w:rFonts w:ascii="仿宋" w:hAnsi="仿宋" w:eastAsia="仿宋"/>
        </w:rPr>
        <w:t>新增《G01附注第IX部分存贷款月日均情况表》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（二）季报内容调整</w:t>
      </w:r>
    </w:p>
    <w:p>
      <w:pPr>
        <w:adjustRightInd w:val="0"/>
        <w:snapToGrid w:val="0"/>
        <w:spacing w:line="312" w:lineRule="auto"/>
        <w:ind w:firstLine="420" w:firstLineChars="200"/>
        <w:rPr>
          <w:rFonts w:hint="eastAsia" w:ascii="仿宋" w:hAnsi="仿宋" w:eastAsia="仿宋"/>
        </w:rPr>
      </w:pPr>
      <w:r>
        <w:rPr>
          <w:rFonts w:ascii="仿宋" w:hAnsi="仿宋" w:eastAsia="仿宋"/>
        </w:rPr>
        <w:t>1.增加《G11第Ⅲ部分按行业大类分类的贷款（按贷款投向）》；</w:t>
      </w:r>
    </w:p>
    <w:p>
      <w:pPr>
        <w:adjustRightInd w:val="0"/>
        <w:snapToGrid w:val="0"/>
        <w:spacing w:line="312" w:lineRule="auto"/>
        <w:ind w:firstLine="420" w:firstLineChars="200"/>
        <w:rPr>
          <w:rFonts w:hint="eastAsia" w:ascii="仿宋" w:hAnsi="仿宋" w:eastAsia="仿宋"/>
        </w:rPr>
      </w:pPr>
      <w:r>
        <w:rPr>
          <w:rFonts w:ascii="仿宋" w:hAnsi="仿宋" w:eastAsia="仿宋"/>
        </w:rPr>
        <w:t>2.修改《G14授信集中情况表》；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3.增加《G25流动性覆盖率和净稳定融资比例情况表》；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4.增加《G44杠杆率情况表》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以上新增和调整报表的具体内容见附件4。</w:t>
      </w:r>
    </w:p>
    <w:p>
      <w:pPr>
        <w:adjustRightInd w:val="0"/>
        <w:snapToGrid w:val="0"/>
        <w:spacing w:line="312" w:lineRule="auto"/>
        <w:ind w:firstLine="420" w:firstLineChars="200"/>
        <w:rPr>
          <w:rFonts w:hint="eastAsia" w:ascii="仿宋" w:hAnsi="仿宋" w:eastAsia="仿宋"/>
        </w:rPr>
      </w:pPr>
      <w:r>
        <w:rPr>
          <w:rFonts w:ascii="仿宋" w:hAnsi="仿宋" w:eastAsia="仿宋"/>
        </w:rPr>
        <w:t>（三）填报说明及校验关系调整</w:t>
      </w:r>
    </w:p>
    <w:p>
      <w:pPr>
        <w:adjustRightInd w:val="0"/>
        <w:snapToGrid w:val="0"/>
        <w:spacing w:line="312" w:lineRule="auto"/>
        <w:ind w:firstLine="420" w:firstLineChars="200"/>
        <w:rPr>
          <w:rFonts w:hint="eastAsia" w:ascii="仿宋" w:hAnsi="仿宋" w:eastAsia="仿宋"/>
        </w:rPr>
      </w:pPr>
      <w:r>
        <w:rPr>
          <w:rFonts w:ascii="仿宋" w:hAnsi="仿宋" w:eastAsia="仿宋"/>
        </w:rPr>
        <w:t>此次修订中还对部分报表（《G13最大十家关注类/次级类/可疑类/损失类贷款情况表》、《G41资本充足率汇总表》等）的填报说明及校验关系进行了完善。请各金融机构登录银监会数据采集系统，在“资源下载”页面中下载相关修订内容。银监会机关及派出机构人员在银监会内网的“统计信息网”中下载。</w:t>
      </w:r>
    </w:p>
    <w:p>
      <w:pPr>
        <w:adjustRightInd w:val="0"/>
        <w:snapToGrid w:val="0"/>
        <w:spacing w:line="312" w:lineRule="auto"/>
        <w:ind w:firstLine="420" w:firstLineChars="200"/>
        <w:rPr>
          <w:rFonts w:hint="eastAsia" w:ascii="仿宋" w:hAnsi="仿宋" w:eastAsia="仿宋"/>
        </w:rPr>
      </w:pPr>
      <w:r>
        <w:rPr>
          <w:rFonts w:ascii="仿宋" w:hAnsi="仿宋" w:eastAsia="仿宋"/>
        </w:rPr>
        <w:t>二、特色报表内容调整</w:t>
      </w:r>
    </w:p>
    <w:p>
      <w:pPr>
        <w:adjustRightInd w:val="0"/>
        <w:snapToGrid w:val="0"/>
        <w:spacing w:line="312" w:lineRule="auto"/>
        <w:ind w:firstLine="420" w:firstLineChars="200"/>
        <w:rPr>
          <w:rFonts w:hint="eastAsia" w:ascii="仿宋" w:hAnsi="仿宋" w:eastAsia="仿宋"/>
        </w:rPr>
      </w:pPr>
      <w:r>
        <w:rPr>
          <w:rFonts w:ascii="仿宋" w:hAnsi="仿宋" w:eastAsia="仿宋"/>
        </w:rPr>
        <w:t>（一）非银行金融机构报表调整</w:t>
      </w:r>
    </w:p>
    <w:p>
      <w:pPr>
        <w:adjustRightInd w:val="0"/>
        <w:snapToGrid w:val="0"/>
        <w:spacing w:line="312" w:lineRule="auto"/>
        <w:ind w:firstLine="420" w:firstLineChars="200"/>
        <w:rPr>
          <w:rFonts w:hint="eastAsia" w:ascii="仿宋" w:hAnsi="仿宋" w:eastAsia="仿宋"/>
        </w:rPr>
      </w:pPr>
      <w:r>
        <w:rPr>
          <w:rFonts w:ascii="仿宋" w:hAnsi="仿宋" w:eastAsia="仿宋"/>
        </w:rPr>
        <w:t>1.信托公司：修改《S32信托投资公司管理信托财产状况统计表》，增加《S3k信托公司净资本计算表》和《S3m信托公司风险资本计算表》；</w:t>
      </w:r>
    </w:p>
    <w:p>
      <w:pPr>
        <w:adjustRightInd w:val="0"/>
        <w:snapToGrid w:val="0"/>
        <w:spacing w:line="312" w:lineRule="auto"/>
        <w:ind w:firstLine="420" w:firstLineChars="200"/>
        <w:rPr>
          <w:rFonts w:hint="eastAsia" w:ascii="仿宋" w:hAnsi="仿宋" w:eastAsia="仿宋"/>
        </w:rPr>
      </w:pPr>
      <w:r>
        <w:rPr>
          <w:rFonts w:ascii="仿宋" w:hAnsi="仿宋" w:eastAsia="仿宋"/>
        </w:rPr>
        <w:t>2.金融租赁公司：增加《S3n金融租赁公司净利差情况表》、《S3o金融租赁公司现金偿付情况表》、修改《S39租赁业务资产负债项目统计表》、《S3e金融租赁公司租赁业务情况统计表》、《S3g租赁资产质量及风险缓释情况表》和《S3h金融租赁公司流动性缺口统计表》；</w:t>
      </w:r>
    </w:p>
    <w:p>
      <w:pPr>
        <w:adjustRightInd w:val="0"/>
        <w:snapToGrid w:val="0"/>
        <w:spacing w:line="312" w:lineRule="auto"/>
        <w:ind w:firstLine="420" w:firstLineChars="200"/>
        <w:rPr>
          <w:rFonts w:hint="eastAsia" w:ascii="仿宋" w:hAnsi="仿宋" w:eastAsia="仿宋"/>
        </w:rPr>
      </w:pPr>
      <w:r>
        <w:rPr>
          <w:rFonts w:ascii="仿宋" w:hAnsi="仿宋" w:eastAsia="仿宋"/>
        </w:rPr>
        <w:t>3.汽车金融公司：修改《S3a汽车金融公司贷款质量五级分类情况表》；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4.消费金融公司：增加《S3j消费金融公司贷款明细分类及有关情况表》。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（二）合作金融机构报表调整</w:t>
      </w:r>
    </w:p>
    <w:p>
      <w:pPr>
        <w:adjustRightInd w:val="0"/>
        <w:snapToGrid w:val="0"/>
        <w:spacing w:line="312" w:lineRule="auto"/>
        <w:ind w:firstLine="420" w:firstLineChars="200"/>
        <w:rPr>
          <w:rFonts w:hint="eastAsia" w:ascii="仿宋" w:hAnsi="仿宋" w:eastAsia="仿宋"/>
        </w:rPr>
      </w:pPr>
      <w:r>
        <w:rPr>
          <w:rFonts w:ascii="仿宋" w:hAnsi="仿宋" w:eastAsia="仿宋"/>
        </w:rPr>
        <w:t>修改《S42农村中小金融机构补充数据报表》、《S45农村中小金融机构支农服务情况统计表》（仅报表名称变动）和《S47新型农村金融机构经营情况统计表》。</w:t>
      </w:r>
    </w:p>
    <w:p>
      <w:pPr>
        <w:adjustRightInd w:val="0"/>
        <w:snapToGrid w:val="0"/>
        <w:spacing w:line="312" w:lineRule="auto"/>
        <w:ind w:firstLine="420" w:firstLineChars="200"/>
        <w:rPr>
          <w:rFonts w:hint="eastAsia" w:ascii="仿宋" w:hAnsi="仿宋" w:eastAsia="仿宋"/>
        </w:rPr>
      </w:pPr>
      <w:r>
        <w:rPr>
          <w:rFonts w:ascii="仿宋" w:hAnsi="仿宋" w:eastAsia="仿宋"/>
        </w:rPr>
        <w:t>（三）其他报表调整</w:t>
      </w:r>
    </w:p>
    <w:p>
      <w:pPr>
        <w:adjustRightInd w:val="0"/>
        <w:snapToGrid w:val="0"/>
        <w:spacing w:line="312" w:lineRule="auto"/>
        <w:ind w:firstLine="420" w:firstLineChars="200"/>
        <w:rPr>
          <w:rFonts w:hint="eastAsia" w:ascii="仿宋" w:hAnsi="仿宋" w:eastAsia="仿宋"/>
        </w:rPr>
      </w:pPr>
      <w:r>
        <w:rPr>
          <w:rFonts w:ascii="仿宋" w:hAnsi="仿宋" w:eastAsia="仿宋"/>
        </w:rPr>
        <w:t>增加《S62贷款按“三个办法、一个指引”执行情况表》，具体表样及填报说明详见附件4。</w:t>
      </w:r>
    </w:p>
    <w:p>
      <w:pPr>
        <w:adjustRightInd w:val="0"/>
        <w:snapToGrid w:val="0"/>
        <w:spacing w:line="312" w:lineRule="auto"/>
        <w:ind w:firstLine="420" w:firstLineChars="200"/>
        <w:rPr>
          <w:rFonts w:hint="eastAsia" w:ascii="仿宋" w:hAnsi="仿宋" w:eastAsia="仿宋"/>
        </w:rPr>
      </w:pPr>
      <w:r>
        <w:rPr>
          <w:rFonts w:ascii="仿宋" w:hAnsi="仿宋" w:eastAsia="仿宋"/>
        </w:rPr>
        <w:t>关于特色报表的相关新增及修订内容，请各金融机构登录银监会数据采集系统，在“资源下载”页面中下载。银监会机关及派出机构人员在银监会内网的“统计信息网”中下载。</w:t>
      </w:r>
    </w:p>
    <w:p>
      <w:pPr>
        <w:adjustRightInd w:val="0"/>
        <w:snapToGrid w:val="0"/>
        <w:spacing w:line="312" w:lineRule="auto"/>
        <w:ind w:firstLine="420" w:firstLineChars="200"/>
        <w:rPr>
          <w:rFonts w:hint="eastAsia" w:ascii="仿宋" w:hAnsi="仿宋" w:eastAsia="仿宋"/>
        </w:rPr>
      </w:pPr>
      <w:r>
        <w:rPr>
          <w:rFonts w:ascii="仿宋" w:hAnsi="仿宋" w:eastAsia="仿宋"/>
        </w:rPr>
        <w:t>三、分支机构报表内容调整</w:t>
      </w:r>
    </w:p>
    <w:p>
      <w:pPr>
        <w:adjustRightInd w:val="0"/>
        <w:snapToGrid w:val="0"/>
        <w:spacing w:line="312" w:lineRule="auto"/>
        <w:ind w:firstLine="420" w:firstLineChars="200"/>
        <w:rPr>
          <w:rFonts w:hint="eastAsia" w:ascii="仿宋" w:hAnsi="仿宋" w:eastAsia="仿宋"/>
        </w:rPr>
      </w:pPr>
      <w:r>
        <w:rPr>
          <w:rFonts w:ascii="仿宋" w:hAnsi="仿宋" w:eastAsia="仿宋"/>
        </w:rPr>
        <w:t>为了保持与法人非现场监管报表的一致性，分支机构非现场监管报表也进行了调整，具体包括：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（一）新增报表</w:t>
      </w:r>
    </w:p>
    <w:p>
      <w:pPr>
        <w:adjustRightInd w:val="0"/>
        <w:snapToGrid w:val="0"/>
        <w:spacing w:line="312" w:lineRule="auto"/>
        <w:ind w:firstLine="420" w:firstLineChars="200"/>
        <w:rPr>
          <w:rFonts w:hint="eastAsia" w:ascii="仿宋" w:hAnsi="仿宋" w:eastAsia="仿宋"/>
        </w:rPr>
      </w:pPr>
      <w:r>
        <w:rPr>
          <w:rFonts w:ascii="仿宋" w:hAnsi="仿宋" w:eastAsia="仿宋"/>
        </w:rPr>
        <w:t>1.《GF01附注IX部分存贷款月日均情况表》；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2.《GF11第Ⅲ部分按行业大类分类的贷款（按贷款投向）》。</w:t>
      </w:r>
    </w:p>
    <w:p>
      <w:pPr>
        <w:adjustRightInd w:val="0"/>
        <w:snapToGrid w:val="0"/>
        <w:spacing w:line="312" w:lineRule="auto"/>
        <w:ind w:firstLine="420" w:firstLineChars="200"/>
        <w:rPr>
          <w:rFonts w:hint="eastAsia" w:ascii="仿宋" w:hAnsi="仿宋" w:eastAsia="仿宋"/>
        </w:rPr>
      </w:pPr>
      <w:r>
        <w:rPr>
          <w:rFonts w:ascii="仿宋" w:hAnsi="仿宋" w:eastAsia="仿宋"/>
        </w:rPr>
        <w:t>3.《SF62贷款按“三个办法、一个指引”执行情况表》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（二）修改报表</w:t>
      </w:r>
    </w:p>
    <w:p>
      <w:pPr>
        <w:adjustRightInd w:val="0"/>
        <w:snapToGrid w:val="0"/>
        <w:spacing w:line="312" w:lineRule="auto"/>
        <w:ind w:firstLine="420" w:firstLineChars="200"/>
        <w:rPr>
          <w:rFonts w:hint="eastAsia" w:ascii="仿宋" w:hAnsi="仿宋" w:eastAsia="仿宋"/>
        </w:rPr>
      </w:pPr>
      <w:r>
        <w:rPr>
          <w:rFonts w:ascii="仿宋" w:hAnsi="仿宋" w:eastAsia="仿宋"/>
        </w:rPr>
        <w:t>《GF14授信集中度报表》中的第一部分和第三部分相应内容进行修订。</w:t>
      </w:r>
    </w:p>
    <w:p>
      <w:pPr>
        <w:adjustRightInd w:val="0"/>
        <w:snapToGrid w:val="0"/>
        <w:spacing w:line="312" w:lineRule="auto"/>
        <w:ind w:firstLine="420" w:firstLineChars="200"/>
        <w:rPr>
          <w:rFonts w:hint="eastAsia" w:ascii="仿宋" w:hAnsi="仿宋" w:eastAsia="仿宋"/>
        </w:rPr>
      </w:pPr>
      <w:r>
        <w:rPr>
          <w:rFonts w:ascii="仿宋" w:hAnsi="仿宋" w:eastAsia="仿宋"/>
        </w:rPr>
        <w:t>关于分支机构的相关新增及修订内容，请各金融机构登录银监会数据采集系统，在“资源下载”页面中下载。银监会机关及派出机构人员在银监会内网的“统计信息网”中下载。</w:t>
      </w:r>
    </w:p>
    <w:p>
      <w:pPr>
        <w:adjustRightInd w:val="0"/>
        <w:snapToGrid w:val="0"/>
        <w:spacing w:line="312" w:lineRule="auto"/>
        <w:ind w:firstLine="420" w:firstLineChars="200"/>
        <w:rPr>
          <w:rFonts w:hint="eastAsia" w:ascii="仿宋" w:hAnsi="仿宋" w:eastAsia="仿宋"/>
        </w:rPr>
      </w:pPr>
      <w:r>
        <w:rPr>
          <w:rFonts w:ascii="仿宋" w:hAnsi="仿宋" w:eastAsia="仿宋"/>
        </w:rPr>
        <w:t>四、指标计算口径的调整</w:t>
      </w:r>
    </w:p>
    <w:p>
      <w:pPr>
        <w:adjustRightInd w:val="0"/>
        <w:snapToGrid w:val="0"/>
        <w:spacing w:line="312" w:lineRule="auto"/>
        <w:ind w:firstLine="420" w:firstLineChars="200"/>
        <w:rPr>
          <w:rFonts w:hint="eastAsia" w:ascii="仿宋" w:hAnsi="仿宋" w:eastAsia="仿宋"/>
        </w:rPr>
      </w:pPr>
      <w:r>
        <w:rPr>
          <w:rFonts w:ascii="仿宋" w:hAnsi="仿宋" w:eastAsia="仿宋"/>
        </w:rPr>
        <w:t>按《商业银行集团客户授信业务风险管理指引》要求，在计算单一集团客户授信集中度指标时，分子为扣除保证金、银行存单及国债的最大一家集团客户（也可以为单一法人）的授信余额。同时在计算授信余额时，持有的集团客户成员企业发行的公司债券、企业债券、短期融资券、中期票据等债券资产以及通过衍生产品等交易行为所产生的信用风险暴露（用现期风险暴露法计算）应纳入授信余额的统计范围。</w:t>
      </w:r>
    </w:p>
    <w:p>
      <w:pPr>
        <w:adjustRightInd w:val="0"/>
        <w:snapToGrid w:val="0"/>
        <w:spacing w:line="312" w:lineRule="auto"/>
        <w:ind w:firstLine="420" w:firstLineChars="200"/>
        <w:rPr>
          <w:rFonts w:hint="eastAsia" w:ascii="仿宋" w:hAnsi="仿宋" w:eastAsia="仿宋"/>
        </w:rPr>
      </w:pPr>
      <w:r>
        <w:rPr>
          <w:rFonts w:ascii="仿宋" w:hAnsi="仿宋" w:eastAsia="仿宋"/>
        </w:rPr>
        <w:t>五、报表报送时间、口径和范围的调整</w:t>
      </w:r>
    </w:p>
    <w:p>
      <w:pPr>
        <w:adjustRightInd w:val="0"/>
        <w:snapToGrid w:val="0"/>
        <w:spacing w:line="312" w:lineRule="auto"/>
        <w:ind w:firstLine="420" w:firstLineChars="200"/>
        <w:rPr>
          <w:rFonts w:hint="eastAsia" w:ascii="仿宋" w:hAnsi="仿宋" w:eastAsia="仿宋"/>
        </w:rPr>
      </w:pPr>
      <w:r>
        <w:rPr>
          <w:rFonts w:ascii="仿宋" w:hAnsi="仿宋" w:eastAsia="仿宋"/>
        </w:rPr>
        <w:t>（一）报表报送时间的调整</w:t>
      </w:r>
    </w:p>
    <w:p>
      <w:pPr>
        <w:adjustRightInd w:val="0"/>
        <w:snapToGrid w:val="0"/>
        <w:spacing w:line="312" w:lineRule="auto"/>
        <w:ind w:firstLine="420" w:firstLineChars="200"/>
        <w:rPr>
          <w:rFonts w:hint="eastAsia" w:ascii="仿宋" w:hAnsi="仿宋" w:eastAsia="仿宋"/>
        </w:rPr>
      </w:pPr>
      <w:r>
        <w:rPr>
          <w:rFonts w:ascii="仿宋" w:hAnsi="仿宋" w:eastAsia="仿宋"/>
        </w:rPr>
        <w:t>《G12/GF12贷款质量迁徙情况表》和《G33利率重新定价风险情况表》的报送时间由半年后25日调整为半年后18日。</w:t>
      </w:r>
    </w:p>
    <w:p>
      <w:pPr>
        <w:adjustRightInd w:val="0"/>
        <w:snapToGrid w:val="0"/>
        <w:spacing w:line="312" w:lineRule="auto"/>
        <w:ind w:firstLine="420" w:firstLineChars="200"/>
        <w:rPr>
          <w:rFonts w:hint="eastAsia" w:ascii="仿宋" w:hAnsi="仿宋" w:eastAsia="仿宋"/>
        </w:rPr>
      </w:pPr>
      <w:r>
        <w:rPr>
          <w:rFonts w:ascii="仿宋" w:hAnsi="仿宋" w:eastAsia="仿宋"/>
        </w:rPr>
        <w:t>（二）报表口径的调整</w:t>
      </w:r>
    </w:p>
    <w:p>
      <w:pPr>
        <w:adjustRightInd w:val="0"/>
        <w:snapToGrid w:val="0"/>
        <w:spacing w:line="312" w:lineRule="auto"/>
        <w:ind w:firstLine="420" w:firstLineChars="200"/>
        <w:rPr>
          <w:rFonts w:hint="eastAsia" w:ascii="仿宋" w:hAnsi="仿宋" w:eastAsia="仿宋"/>
        </w:rPr>
      </w:pPr>
      <w:r>
        <w:rPr>
          <w:rFonts w:ascii="仿宋" w:hAnsi="仿宋" w:eastAsia="仿宋"/>
        </w:rPr>
        <w:t>为了更好地满足并表监管的要求，从2011年起，三组和四组银行业金融机构开始报送并表口径的《G03各项资产减值损失准备情况表》。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除上述（一）和（二）的调整，法人及分支机构非现场监管报表的报送时间、审核时间以及频度、口径与2010年保持一致。各类型机构各期非现场监管报表报送时间及相应口径见附件1。</w:t>
      </w:r>
    </w:p>
    <w:p>
      <w:pPr>
        <w:adjustRightInd w:val="0"/>
        <w:snapToGrid w:val="0"/>
        <w:spacing w:line="312" w:lineRule="auto"/>
        <w:ind w:firstLine="420" w:firstLineChars="200"/>
        <w:rPr>
          <w:rFonts w:hint="eastAsia" w:ascii="仿宋" w:hAnsi="仿宋" w:eastAsia="仿宋"/>
        </w:rPr>
      </w:pPr>
      <w:r>
        <w:rPr>
          <w:rFonts w:ascii="仿宋" w:hAnsi="仿宋" w:eastAsia="仿宋"/>
        </w:rPr>
        <w:t>2011年1月的法人及分支机构非现场监管报表报送时间为2011年2月10日（周四），2月11日之前完成数据审核工作。2011年法人及分支机构非现场监管各期报表的上报和审核时间见附件3。</w:t>
      </w:r>
    </w:p>
    <w:p>
      <w:pPr>
        <w:adjustRightInd w:val="0"/>
        <w:snapToGrid w:val="0"/>
        <w:spacing w:line="312" w:lineRule="auto"/>
        <w:ind w:firstLine="420" w:firstLineChars="200"/>
        <w:rPr>
          <w:rFonts w:hint="eastAsia" w:ascii="仿宋" w:hAnsi="仿宋" w:eastAsia="仿宋"/>
        </w:rPr>
      </w:pPr>
      <w:r>
        <w:rPr>
          <w:rFonts w:ascii="仿宋" w:hAnsi="仿宋" w:eastAsia="仿宋"/>
        </w:rPr>
        <w:t>（三）报表适用范围的调整</w:t>
      </w:r>
    </w:p>
    <w:p>
      <w:pPr>
        <w:adjustRightInd w:val="0"/>
        <w:snapToGrid w:val="0"/>
        <w:spacing w:line="312" w:lineRule="auto"/>
        <w:ind w:firstLine="420" w:firstLineChars="200"/>
        <w:rPr>
          <w:rFonts w:hint="eastAsia" w:ascii="仿宋" w:hAnsi="仿宋" w:eastAsia="仿宋"/>
        </w:rPr>
      </w:pPr>
      <w:r>
        <w:rPr>
          <w:rFonts w:ascii="仿宋" w:hAnsi="仿宋" w:eastAsia="仿宋"/>
        </w:rPr>
        <w:t>1.消费金融公司从2011年起开始报送法人机构非现场监管报表，详细报送范围参见附件2-1。</w:t>
      </w:r>
    </w:p>
    <w:p>
      <w:pPr>
        <w:adjustRightInd w:val="0"/>
        <w:snapToGrid w:val="0"/>
        <w:spacing w:line="312" w:lineRule="auto"/>
        <w:ind w:firstLine="420" w:firstLineChars="200"/>
        <w:rPr>
          <w:rFonts w:hint="eastAsia" w:ascii="仿宋" w:hAnsi="仿宋" w:eastAsia="仿宋"/>
        </w:rPr>
      </w:pPr>
      <w:r>
        <w:rPr>
          <w:rFonts w:ascii="仿宋" w:hAnsi="仿宋" w:eastAsia="仿宋"/>
        </w:rPr>
        <w:t>2.村镇银行和贷款公司从2011年开始报送《S45农村中小金融机构支农服务情况统计表》。</w:t>
      </w:r>
    </w:p>
    <w:p>
      <w:pPr>
        <w:adjustRightInd w:val="0"/>
        <w:snapToGrid w:val="0"/>
        <w:spacing w:line="312" w:lineRule="auto"/>
        <w:ind w:firstLine="420" w:firstLineChars="200"/>
        <w:rPr>
          <w:rFonts w:hint="eastAsia" w:ascii="仿宋" w:hAnsi="仿宋" w:eastAsia="仿宋"/>
        </w:rPr>
      </w:pPr>
      <w:r>
        <w:rPr>
          <w:rFonts w:ascii="仿宋" w:hAnsi="仿宋" w:eastAsia="仿宋"/>
        </w:rPr>
        <w:t>3.外国银行分行从2011年开始报送《S61个人理财业务统计明细表》。</w:t>
      </w:r>
    </w:p>
    <w:p>
      <w:pPr>
        <w:adjustRightInd w:val="0"/>
        <w:snapToGrid w:val="0"/>
        <w:spacing w:line="312" w:lineRule="auto"/>
        <w:ind w:firstLine="420" w:firstLineChars="200"/>
        <w:rPr>
          <w:rFonts w:hint="eastAsia" w:ascii="仿宋" w:hAnsi="仿宋" w:eastAsia="仿宋"/>
        </w:rPr>
      </w:pPr>
      <w:r>
        <w:rPr>
          <w:rFonts w:ascii="仿宋" w:hAnsi="仿宋" w:eastAsia="仿宋"/>
        </w:rPr>
        <w:t>4.金融租赁公司从2011年开始报送《G02衍生产品交易业务情况表》。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各类报表的填报机构范围具体见附件2。</w:t>
      </w:r>
    </w:p>
    <w:p>
      <w:pPr>
        <w:adjustRightInd w:val="0"/>
        <w:snapToGrid w:val="0"/>
        <w:spacing w:line="312" w:lineRule="auto"/>
        <w:ind w:firstLine="420" w:firstLineChars="200"/>
        <w:rPr>
          <w:rFonts w:hint="eastAsia" w:ascii="仿宋" w:hAnsi="仿宋" w:eastAsia="仿宋"/>
        </w:rPr>
      </w:pPr>
      <w:r>
        <w:rPr>
          <w:rFonts w:ascii="仿宋" w:hAnsi="仿宋" w:eastAsia="仿宋"/>
        </w:rPr>
        <w:t>六、新增及修订报表报送安排</w:t>
      </w:r>
    </w:p>
    <w:p>
      <w:pPr>
        <w:adjustRightInd w:val="0"/>
        <w:snapToGrid w:val="0"/>
        <w:spacing w:line="312" w:lineRule="auto"/>
        <w:ind w:firstLine="420" w:firstLineChars="200"/>
        <w:rPr>
          <w:rFonts w:hint="eastAsia" w:ascii="仿宋" w:hAnsi="仿宋" w:eastAsia="仿宋"/>
        </w:rPr>
      </w:pPr>
      <w:r>
        <w:rPr>
          <w:rFonts w:ascii="仿宋" w:hAnsi="仿宋" w:eastAsia="仿宋"/>
        </w:rPr>
        <w:t>为保证非现场监管数据连续性，对于部分2011年新增及修订的报表，相关银行业金融机构应补报2010年年末数据。</w:t>
      </w:r>
    </w:p>
    <w:p>
      <w:pPr>
        <w:adjustRightInd w:val="0"/>
        <w:snapToGrid w:val="0"/>
        <w:spacing w:line="312" w:lineRule="auto"/>
        <w:ind w:firstLine="420" w:firstLineChars="200"/>
        <w:rPr>
          <w:rFonts w:hint="eastAsia" w:ascii="仿宋" w:hAnsi="仿宋" w:eastAsia="仿宋"/>
        </w:rPr>
      </w:pPr>
      <w:r>
        <w:rPr>
          <w:rFonts w:ascii="仿宋" w:hAnsi="仿宋" w:eastAsia="仿宋"/>
        </w:rPr>
        <w:t>（一）需要补报的报表包括：</w:t>
      </w:r>
    </w:p>
    <w:p>
      <w:pPr>
        <w:adjustRightInd w:val="0"/>
        <w:snapToGrid w:val="0"/>
        <w:spacing w:line="312" w:lineRule="auto"/>
        <w:ind w:firstLine="420" w:firstLineChars="200"/>
        <w:rPr>
          <w:rFonts w:hint="eastAsia" w:ascii="仿宋" w:hAnsi="仿宋" w:eastAsia="仿宋"/>
        </w:rPr>
      </w:pPr>
      <w:r>
        <w:rPr>
          <w:rFonts w:ascii="仿宋" w:hAnsi="仿宋" w:eastAsia="仿宋"/>
        </w:rPr>
        <w:t>1.《G01/GF01附注第IX部分存贷款月日均情况表》；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2.《G11/GF11第Ⅲ部分按行业大类分类的贷款（按贷款投向）》；</w:t>
      </w:r>
    </w:p>
    <w:p>
      <w:pPr>
        <w:adjustRightInd w:val="0"/>
        <w:snapToGrid w:val="0"/>
        <w:spacing w:line="312" w:lineRule="auto"/>
        <w:ind w:firstLine="420" w:firstLineChars="200"/>
        <w:rPr>
          <w:rFonts w:hint="eastAsia" w:ascii="仿宋" w:hAnsi="仿宋" w:eastAsia="仿宋"/>
        </w:rPr>
      </w:pPr>
      <w:r>
        <w:rPr>
          <w:rFonts w:ascii="仿宋" w:hAnsi="仿宋" w:eastAsia="仿宋"/>
        </w:rPr>
        <w:t>3.《G14/GF14授信集中情况表》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4.《G25流动性覆盖率和净稳定融资比例情况表》；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5.《G44杠杆率情况表》；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6.《S3k信托公司净资本计算表》和《S3m信托公司风险资本计算表》；</w:t>
      </w:r>
    </w:p>
    <w:p>
      <w:pPr>
        <w:adjustRightInd w:val="0"/>
        <w:snapToGrid w:val="0"/>
        <w:spacing w:line="312" w:lineRule="auto"/>
        <w:ind w:firstLine="420" w:firstLineChars="200"/>
        <w:rPr>
          <w:rFonts w:hint="eastAsia" w:ascii="仿宋" w:hAnsi="仿宋" w:eastAsia="仿宋"/>
        </w:rPr>
      </w:pPr>
      <w:r>
        <w:rPr>
          <w:rFonts w:ascii="仿宋" w:hAnsi="仿宋" w:eastAsia="仿宋"/>
        </w:rPr>
        <w:t>7.《S3n金融租赁公司净利差情况表》、《S3o金融租赁公司现金偿付情况表》、《S39租赁业务资产负债项目统计表》、《S3e金融租赁公司租赁业务情况统计表》、《S3g融资租赁资产质量及风险缓释情况表》和《S3h金融租赁公司流动性缺口统计表》；</w:t>
      </w:r>
    </w:p>
    <w:p>
      <w:pPr>
        <w:adjustRightInd w:val="0"/>
        <w:snapToGrid w:val="0"/>
        <w:spacing w:line="312" w:lineRule="auto"/>
        <w:ind w:firstLine="420" w:firstLineChars="200"/>
        <w:rPr>
          <w:rFonts w:hint="eastAsia" w:ascii="仿宋" w:hAnsi="仿宋" w:eastAsia="仿宋"/>
        </w:rPr>
      </w:pPr>
      <w:r>
        <w:rPr>
          <w:rFonts w:ascii="仿宋" w:hAnsi="仿宋" w:eastAsia="仿宋"/>
        </w:rPr>
        <w:t>8.《S3a汽车金融公司贷款质量五级分类情况表》和《S3j消费金融公司贷款明细分类及有关情况表》；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9.《S42农村中小金融机构补充数据报表》和《S47新型农村金融机构经营情况统计表》；</w:t>
      </w:r>
    </w:p>
    <w:p>
      <w:pPr>
        <w:adjustRightInd w:val="0"/>
        <w:snapToGrid w:val="0"/>
        <w:spacing w:line="312" w:lineRule="auto"/>
        <w:ind w:firstLine="420" w:firstLineChars="200"/>
        <w:rPr>
          <w:rFonts w:hint="eastAsia" w:ascii="仿宋" w:hAnsi="仿宋" w:eastAsia="仿宋"/>
        </w:rPr>
      </w:pPr>
      <w:r>
        <w:rPr>
          <w:rFonts w:ascii="仿宋" w:hAnsi="仿宋" w:eastAsia="仿宋"/>
        </w:rPr>
        <w:t>10.《S62/SF62贷款按“三个办法、一个指引”执行情况表》</w:t>
      </w:r>
    </w:p>
    <w:p>
      <w:pPr>
        <w:adjustRightInd w:val="0"/>
        <w:snapToGrid w:val="0"/>
        <w:spacing w:line="312" w:lineRule="auto"/>
        <w:ind w:firstLine="420" w:firstLineChars="200"/>
        <w:rPr>
          <w:rFonts w:hint="eastAsia" w:ascii="仿宋" w:hAnsi="仿宋" w:eastAsia="仿宋"/>
        </w:rPr>
      </w:pPr>
      <w:r>
        <w:rPr>
          <w:rFonts w:ascii="仿宋" w:hAnsi="仿宋" w:eastAsia="仿宋"/>
        </w:rPr>
        <w:t>（二）具体补报时间为：</w:t>
      </w:r>
    </w:p>
    <w:p>
      <w:pPr>
        <w:adjustRightInd w:val="0"/>
        <w:snapToGrid w:val="0"/>
        <w:spacing w:line="312" w:lineRule="auto"/>
        <w:ind w:firstLine="420" w:firstLineChars="200"/>
        <w:rPr>
          <w:rFonts w:hint="eastAsia" w:ascii="仿宋" w:hAnsi="仿宋" w:eastAsia="仿宋"/>
        </w:rPr>
      </w:pPr>
      <w:r>
        <w:rPr>
          <w:rFonts w:ascii="仿宋" w:hAnsi="仿宋" w:eastAsia="仿宋"/>
        </w:rPr>
        <w:t>1.月报补报时间：相关银行业金融机构应于2011年1月18日前完成2010年12月月报数据补报，1月20日前完成审核工作。</w:t>
      </w:r>
    </w:p>
    <w:p>
      <w:pPr>
        <w:adjustRightInd w:val="0"/>
        <w:snapToGrid w:val="0"/>
        <w:spacing w:line="312" w:lineRule="auto"/>
        <w:ind w:firstLine="420" w:firstLineChars="200"/>
        <w:rPr>
          <w:rFonts w:hint="eastAsia" w:ascii="仿宋" w:hAnsi="仿宋" w:eastAsia="仿宋"/>
        </w:rPr>
      </w:pPr>
      <w:r>
        <w:rPr>
          <w:rFonts w:ascii="仿宋" w:hAnsi="仿宋" w:eastAsia="仿宋"/>
        </w:rPr>
        <w:t>2.季报（含并表口径报表）补报时间：相关银行业金融机构应于2011年3月28日前完成2010年12月末季报（含并表口径报表）的补报，3月30日前完成审核工作。</w:t>
      </w:r>
    </w:p>
    <w:p>
      <w:pPr>
        <w:adjustRightInd w:val="0"/>
        <w:snapToGrid w:val="0"/>
        <w:spacing w:line="312" w:lineRule="auto"/>
        <w:ind w:firstLine="420" w:firstLineChars="200"/>
        <w:rPr>
          <w:rFonts w:hint="eastAsia" w:ascii="仿宋" w:hAnsi="仿宋" w:eastAsia="仿宋"/>
        </w:rPr>
      </w:pPr>
      <w:r>
        <w:rPr>
          <w:rFonts w:ascii="仿宋" w:hAnsi="仿宋" w:eastAsia="仿宋"/>
        </w:rPr>
        <w:t>七、执行要求及其他</w:t>
      </w:r>
    </w:p>
    <w:p>
      <w:pPr>
        <w:adjustRightInd w:val="0"/>
        <w:snapToGrid w:val="0"/>
        <w:spacing w:line="312" w:lineRule="auto"/>
        <w:ind w:firstLine="420" w:firstLineChars="200"/>
        <w:rPr>
          <w:rFonts w:hint="eastAsia" w:ascii="仿宋" w:hAnsi="仿宋" w:eastAsia="仿宋"/>
        </w:rPr>
      </w:pPr>
      <w:r>
        <w:rPr>
          <w:rFonts w:ascii="仿宋" w:hAnsi="仿宋" w:eastAsia="仿宋"/>
        </w:rPr>
        <w:t>2011年非现场监管报表新增报表较多，填报难度较大，各银行业金融机构要高度重视并认真组织，全面理解填报要求，准确报送数据，充分利用这些报表数据，提高自身风险管理能力和水平。</w:t>
      </w:r>
    </w:p>
    <w:p>
      <w:pPr>
        <w:adjustRightInd w:val="0"/>
        <w:snapToGrid w:val="0"/>
        <w:spacing w:line="312" w:lineRule="auto"/>
        <w:ind w:firstLine="420" w:firstLineChars="200"/>
        <w:rPr>
          <w:rFonts w:hint="eastAsia" w:ascii="仿宋" w:hAnsi="仿宋" w:eastAsia="仿宋"/>
        </w:rPr>
      </w:pPr>
      <w:r>
        <w:rPr>
          <w:rFonts w:ascii="仿宋" w:hAnsi="仿宋" w:eastAsia="仿宋"/>
        </w:rPr>
        <w:t>2011年非现场监管报表将通过两次系统升级完成，第一次系统升级于1月初完成，第二次系统升级于3月初完成。有关系统升级的具体事宜另行通知</w:t>
      </w:r>
      <w:r>
        <w:rPr>
          <w:rFonts w:ascii="仿宋" w:hAnsi="仿宋" w:eastAsia="仿宋"/>
        </w:rPr>
        <w:br w:type="textWrapping"/>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请各银监局及时将本通知</w:t>
      </w:r>
      <w:r>
        <w:rPr>
          <w:rFonts w:ascii="仿宋" w:hAnsi="仿宋" w:eastAsia="仿宋"/>
        </w:rPr>
        <w:br w:type="textWrapping"/>
      </w:r>
      <w:r>
        <w:rPr>
          <w:rFonts w:ascii="仿宋" w:hAnsi="仿宋" w:eastAsia="仿宋"/>
        </w:rPr>
        <w:t>转发至辖内银行业金融机构，认真组织各银行业金融机构做好报送准备工作。</w:t>
      </w:r>
    </w:p>
    <w:p>
      <w:pPr>
        <w:adjustRightInd w:val="0"/>
        <w:snapToGrid w:val="0"/>
        <w:spacing w:line="312" w:lineRule="auto"/>
        <w:ind w:firstLine="420" w:firstLineChars="200"/>
        <w:rPr>
          <w:rFonts w:hint="eastAsia" w:ascii="仿宋" w:hAnsi="仿宋" w:eastAsia="仿宋"/>
        </w:rPr>
      </w:pPr>
      <w:r>
        <w:rPr>
          <w:rFonts w:ascii="仿宋" w:hAnsi="仿宋" w:eastAsia="仿宋"/>
        </w:rPr>
        <w:t>附件：1-1一组机构基础报表频度时间（略）</w:t>
      </w:r>
    </w:p>
    <w:p>
      <w:pPr>
        <w:adjustRightInd w:val="0"/>
        <w:snapToGrid w:val="0"/>
        <w:spacing w:line="312" w:lineRule="auto"/>
        <w:ind w:firstLine="420" w:firstLineChars="200"/>
        <w:rPr>
          <w:rFonts w:hint="eastAsia" w:ascii="仿宋" w:hAnsi="仿宋" w:eastAsia="仿宋"/>
        </w:rPr>
      </w:pPr>
      <w:r>
        <w:rPr>
          <w:rFonts w:ascii="仿宋" w:hAnsi="仿宋" w:eastAsia="仿宋"/>
        </w:rPr>
        <w:t>　1-2二组机构基础报表频度时间（略）</w:t>
      </w:r>
    </w:p>
    <w:p>
      <w:pPr>
        <w:adjustRightInd w:val="0"/>
        <w:snapToGrid w:val="0"/>
        <w:spacing w:line="312" w:lineRule="auto"/>
        <w:ind w:firstLine="420" w:firstLineChars="200"/>
        <w:rPr>
          <w:rFonts w:hint="eastAsia" w:ascii="仿宋" w:hAnsi="仿宋" w:eastAsia="仿宋"/>
        </w:rPr>
      </w:pPr>
      <w:r>
        <w:rPr>
          <w:rFonts w:ascii="仿宋" w:hAnsi="仿宋" w:eastAsia="仿宋"/>
        </w:rPr>
        <w:t>　1-3三组机构基础报表频度时间（略）</w:t>
      </w:r>
    </w:p>
    <w:p>
      <w:pPr>
        <w:adjustRightInd w:val="0"/>
        <w:snapToGrid w:val="0"/>
        <w:spacing w:line="312" w:lineRule="auto"/>
        <w:ind w:firstLine="420" w:firstLineChars="200"/>
        <w:rPr>
          <w:rFonts w:hint="eastAsia" w:ascii="仿宋" w:hAnsi="仿宋" w:eastAsia="仿宋"/>
        </w:rPr>
      </w:pPr>
      <w:r>
        <w:rPr>
          <w:rFonts w:ascii="仿宋" w:hAnsi="仿宋" w:eastAsia="仿宋"/>
        </w:rPr>
        <w:t>　1-4四组机构基础报表频度时间（略）</w:t>
      </w:r>
    </w:p>
    <w:p>
      <w:pPr>
        <w:adjustRightInd w:val="0"/>
        <w:snapToGrid w:val="0"/>
        <w:spacing w:line="312" w:lineRule="auto"/>
        <w:ind w:firstLine="420" w:firstLineChars="200"/>
        <w:rPr>
          <w:rFonts w:hint="eastAsia" w:ascii="仿宋" w:hAnsi="仿宋" w:eastAsia="仿宋"/>
        </w:rPr>
      </w:pPr>
      <w:r>
        <w:rPr>
          <w:rFonts w:ascii="仿宋" w:hAnsi="仿宋" w:eastAsia="仿宋"/>
        </w:rPr>
        <w:t>　1-5特色报表频度时间（略）</w:t>
      </w:r>
    </w:p>
    <w:p>
      <w:pPr>
        <w:adjustRightInd w:val="0"/>
        <w:snapToGrid w:val="0"/>
        <w:spacing w:line="312" w:lineRule="auto"/>
        <w:ind w:firstLine="420" w:firstLineChars="200"/>
        <w:rPr>
          <w:rFonts w:hint="eastAsia" w:ascii="仿宋" w:hAnsi="仿宋" w:eastAsia="仿宋"/>
        </w:rPr>
      </w:pPr>
      <w:r>
        <w:rPr>
          <w:rFonts w:ascii="仿宋" w:hAnsi="仿宋" w:eastAsia="仿宋"/>
        </w:rPr>
        <w:t>　1-6分支机构报表频度时间（略）</w:t>
      </w:r>
    </w:p>
    <w:p>
      <w:pPr>
        <w:adjustRightInd w:val="0"/>
        <w:snapToGrid w:val="0"/>
        <w:spacing w:line="312" w:lineRule="auto"/>
        <w:ind w:firstLine="420" w:firstLineChars="200"/>
        <w:rPr>
          <w:rFonts w:hint="eastAsia" w:ascii="仿宋" w:hAnsi="仿宋" w:eastAsia="仿宋"/>
        </w:rPr>
      </w:pPr>
      <w:r>
        <w:rPr>
          <w:rFonts w:ascii="仿宋" w:hAnsi="仿宋" w:eastAsia="仿宋"/>
        </w:rPr>
        <w:t>　2-1基础报表填报范围（略）</w:t>
      </w:r>
    </w:p>
    <w:p>
      <w:pPr>
        <w:adjustRightInd w:val="0"/>
        <w:snapToGrid w:val="0"/>
        <w:spacing w:line="312" w:lineRule="auto"/>
        <w:ind w:firstLine="420" w:firstLineChars="200"/>
        <w:rPr>
          <w:rFonts w:hint="eastAsia" w:ascii="仿宋" w:hAnsi="仿宋" w:eastAsia="仿宋"/>
        </w:rPr>
      </w:pPr>
      <w:r>
        <w:rPr>
          <w:rFonts w:ascii="仿宋" w:hAnsi="仿宋" w:eastAsia="仿宋"/>
        </w:rPr>
        <w:t>　2-2特色报表填报范围（略）</w:t>
      </w:r>
    </w:p>
    <w:p>
      <w:pPr>
        <w:adjustRightInd w:val="0"/>
        <w:snapToGrid w:val="0"/>
        <w:spacing w:line="312" w:lineRule="auto"/>
        <w:ind w:firstLine="420" w:firstLineChars="200"/>
        <w:rPr>
          <w:rFonts w:hint="eastAsia" w:ascii="仿宋" w:hAnsi="仿宋" w:eastAsia="仿宋"/>
        </w:rPr>
      </w:pPr>
      <w:r>
        <w:rPr>
          <w:rFonts w:ascii="仿宋" w:hAnsi="仿宋" w:eastAsia="仿宋"/>
        </w:rPr>
        <w:t>　2-3分支机构报表填报范围（略）</w:t>
      </w:r>
    </w:p>
    <w:p>
      <w:pPr>
        <w:adjustRightInd w:val="0"/>
        <w:snapToGrid w:val="0"/>
        <w:spacing w:line="312" w:lineRule="auto"/>
        <w:ind w:firstLine="420" w:firstLineChars="200"/>
        <w:rPr>
          <w:rFonts w:hint="eastAsia" w:ascii="仿宋" w:hAnsi="仿宋" w:eastAsia="仿宋"/>
        </w:rPr>
      </w:pPr>
      <w:r>
        <w:rPr>
          <w:rFonts w:ascii="仿宋" w:hAnsi="仿宋" w:eastAsia="仿宋"/>
        </w:rPr>
        <w:t>　3.2011年法人及分支报表上报和审核时间表（略）</w:t>
      </w:r>
    </w:p>
    <w:p>
      <w:pPr>
        <w:adjustRightInd w:val="0"/>
        <w:snapToGrid w:val="0"/>
        <w:spacing w:line="312" w:lineRule="auto"/>
        <w:ind w:firstLine="420" w:firstLineChars="200"/>
        <w:rPr>
          <w:rFonts w:hint="eastAsia" w:ascii="仿宋" w:hAnsi="仿宋" w:eastAsia="仿宋"/>
        </w:rPr>
      </w:pPr>
      <w:r>
        <w:rPr>
          <w:rFonts w:ascii="仿宋" w:hAnsi="仿宋" w:eastAsia="仿宋"/>
        </w:rPr>
        <w:t>　4-1G01附注IX部分表样及填报说明（略）</w:t>
      </w:r>
    </w:p>
    <w:p>
      <w:pPr>
        <w:adjustRightInd w:val="0"/>
        <w:snapToGrid w:val="0"/>
        <w:spacing w:line="312" w:lineRule="auto"/>
        <w:ind w:firstLine="420" w:firstLineChars="200"/>
        <w:rPr>
          <w:rFonts w:hint="eastAsia" w:ascii="仿宋" w:hAnsi="仿宋" w:eastAsia="仿宋"/>
        </w:rPr>
      </w:pPr>
      <w:r>
        <w:rPr>
          <w:rFonts w:ascii="仿宋" w:hAnsi="仿宋" w:eastAsia="仿宋"/>
        </w:rPr>
        <w:t>　4-2G14表样及填报说明（略）</w:t>
      </w:r>
    </w:p>
    <w:p>
      <w:pPr>
        <w:adjustRightInd w:val="0"/>
        <w:snapToGrid w:val="0"/>
        <w:spacing w:line="312" w:lineRule="auto"/>
        <w:ind w:firstLine="420" w:firstLineChars="200"/>
        <w:rPr>
          <w:rFonts w:hint="eastAsia" w:ascii="仿宋" w:hAnsi="仿宋" w:eastAsia="仿宋"/>
        </w:rPr>
      </w:pPr>
      <w:r>
        <w:rPr>
          <w:rFonts w:ascii="仿宋" w:hAnsi="仿宋" w:eastAsia="仿宋"/>
        </w:rPr>
        <w:t>　4-3G11第Ⅲ部分表样及填报说明（略）</w:t>
      </w:r>
    </w:p>
    <w:p>
      <w:pPr>
        <w:adjustRightInd w:val="0"/>
        <w:snapToGrid w:val="0"/>
        <w:spacing w:line="312" w:lineRule="auto"/>
        <w:ind w:firstLine="420" w:firstLineChars="200"/>
        <w:rPr>
          <w:rFonts w:hint="eastAsia" w:ascii="仿宋" w:hAnsi="仿宋" w:eastAsia="仿宋"/>
        </w:rPr>
      </w:pPr>
      <w:r>
        <w:rPr>
          <w:rFonts w:ascii="仿宋" w:hAnsi="仿宋" w:eastAsia="仿宋"/>
        </w:rPr>
        <w:t>　4-4G25表样及填报说明（略）</w:t>
      </w:r>
    </w:p>
    <w:p>
      <w:pPr>
        <w:adjustRightInd w:val="0"/>
        <w:snapToGrid w:val="0"/>
        <w:spacing w:line="312" w:lineRule="auto"/>
        <w:ind w:firstLine="420" w:firstLineChars="200"/>
        <w:rPr>
          <w:rFonts w:hint="eastAsia" w:ascii="仿宋" w:hAnsi="仿宋" w:eastAsia="仿宋"/>
        </w:rPr>
      </w:pPr>
      <w:r>
        <w:rPr>
          <w:rFonts w:ascii="仿宋" w:hAnsi="仿宋" w:eastAsia="仿宋"/>
        </w:rPr>
        <w:t>　4-5G44表样及填报说明（略）</w:t>
      </w:r>
    </w:p>
    <w:p>
      <w:pPr>
        <w:adjustRightInd w:val="0"/>
        <w:snapToGrid w:val="0"/>
        <w:spacing w:line="312" w:lineRule="auto"/>
        <w:ind w:firstLine="420" w:firstLineChars="200"/>
        <w:rPr>
          <w:rFonts w:hint="eastAsia" w:ascii="仿宋" w:hAnsi="仿宋" w:eastAsia="仿宋"/>
        </w:rPr>
      </w:pPr>
      <w:r>
        <w:rPr>
          <w:rFonts w:ascii="仿宋" w:hAnsi="仿宋" w:eastAsia="仿宋"/>
        </w:rPr>
        <w:t>　4-6S62表样及填报说明（略）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二○一○年十二月二十二日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