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69" w:name="_Toc19871"/>
      <w:bookmarkStart w:id="470" w:name="_Toc518836031"/>
      <w:r>
        <w:rPr>
          <w:rFonts w:hint="eastAsia"/>
        </w:rPr>
        <w:t>179</w:t>
      </w:r>
      <w:r>
        <w:t>--</w:t>
      </w:r>
      <w:r>
        <w:rPr>
          <w:rFonts w:hint="eastAsia"/>
        </w:rPr>
        <w:t>中国银监会关于印发《商业银行并购贷款风险管理指引》的通知</w:t>
      </w:r>
      <w:r>
        <w:rPr>
          <w:rFonts w:hint="eastAsia"/>
        </w:rPr>
        <w:br w:type="textWrapping"/>
      </w:r>
      <w:r>
        <w:br w:type="textWrapping"/>
      </w:r>
      <w:r>
        <w:rPr>
          <w:rFonts w:hint="eastAsia"/>
        </w:rPr>
        <w:t>（银监发〔2015〕5号）</w:t>
      </w:r>
      <w:bookmarkEnd w:id="469"/>
      <w:bookmarkEnd w:id="470"/>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各银监局，各政策性银行、国有商业银行、股份制商业银行，邮储银行，银监会直接监管的企业集团财务公司：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现将修订后的《商业银行并购贷款风险管理指引》印发给你们，并就有关事项通知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一、银行业金融机构要积极支持优化产业结构，按照依法合规、审慎经营、风险可控、商业可持续的原则，积极稳妥开展并购贷款业务，提高对企业兼并重组的金融服务水平。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二、银行业金融机构要不断优化并购贷款投向，大力推动化解产能过剩，助力技术升级，积极促进有竞争优势的境内企业“走出去”，助推企业提升跨国经营能力和产业竞争力，实现优势互补、互利共赢。</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金融机构要持续强化并购贷款风险防控体系建设，不断完善并购贷款风险管理，在全面分析并购交易各项风险的基础上，做好并购贷款风险评估工作，审慎确定并购贷款条件，加大贷后管理力度，切实保障并购贷款安全。</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2015年2月10日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商业银行并购贷款风险管理指引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商业银行并购贷款经营行为，提高商业银行并购贷款风险管理能力，加强商业银行对经济结构调整和资源优化配置的支持力度，促进银行业公平竞争，维护银行业合法稳健运行，根据《中华人民共和国银行业监督管理法》、《中华人民共和国商业银行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本指引所称商业银行是指依照《中华人民共和国商业银行法》设立的商业银行法人机构。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本指引所称并购，是指境内并购方企业通过受让现有股权、认购新增股权，或收购资产、承接债务等方式以实现合并或实际控制已设立并持续经营的目标企业或资产的交易行为。</w:t>
      </w:r>
    </w:p>
    <w:p>
      <w:pPr>
        <w:adjustRightInd w:val="0"/>
        <w:snapToGrid w:val="0"/>
        <w:spacing w:line="312" w:lineRule="auto"/>
        <w:ind w:firstLine="420" w:firstLineChars="200"/>
        <w:rPr>
          <w:rFonts w:hint="eastAsia" w:ascii="仿宋" w:hAnsi="仿宋" w:eastAsia="仿宋"/>
        </w:rPr>
      </w:pPr>
      <w:r>
        <w:rPr>
          <w:rFonts w:ascii="仿宋" w:hAnsi="仿宋" w:eastAsia="仿宋"/>
        </w:rPr>
        <w:t>并购可由并购方通过其专门设立的无其他业务经营活动的全资或控股子公司（以下称子公司）进行。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本指引所称并购贷款，是指商业银行向并购方或其子公司发放的，用于支付并购交易价款和费用的贷款。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开办并购贷款业务的商业银行法人机构应当符合以下条件：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（一）有健全的风险管理和有效的内控机制；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（二）资本充足率不低于10%；</w:t>
      </w:r>
    </w:p>
    <w:p>
      <w:pPr>
        <w:adjustRightInd w:val="0"/>
        <w:snapToGrid w:val="0"/>
        <w:spacing w:line="312" w:lineRule="auto"/>
        <w:ind w:firstLine="420" w:firstLineChars="200"/>
        <w:rPr>
          <w:rFonts w:hint="eastAsia" w:ascii="仿宋" w:hAnsi="仿宋" w:eastAsia="仿宋"/>
        </w:rPr>
      </w:pPr>
      <w:r>
        <w:rPr>
          <w:rFonts w:ascii="仿宋" w:hAnsi="仿宋" w:eastAsia="仿宋"/>
        </w:rPr>
        <w:t>（三）其他各项监管指标符合监管要求；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（四）有并购贷款尽职调查和风险评估的专业团队。</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商业银行开办并购贷款业务前，应当制定并购贷款业务流程和内控制度，并向监管机构报告。商业银行开办并购贷款业务后，如发生不能持续满足上述条件之一的情况，应当停止办理新的并购贷款业务。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商业银行开办并购贷款业务应当遵循依法合规、审慎经营、风险可控、商业可持续的原则。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商业银行应制定并购贷款业务发展策略，充分考虑国家产业、土地、环保等相关政策，明确发展并购贷款业务的目标、客户范围、风险承受限额及其主要风险特征，合理满足企业兼并重组融资需求。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商业银行应按照管理强度高于其他贷款种类的原则建立相应的并购贷款管理制度和管理信息系统，确保业务流程、内控制度以及管理信息系统能够有效地识别、计量、监测和控制并购贷款的风险。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商业银行应按照监管要求建立并购贷款统计制度，做好并购贷款的统计、汇总、分析等工作。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监会及其派出机构依法对商业银行并购贷款业务实施监督管理，发现商业银行不符合业务开办条件或违反本指引有关规定，不能有效控制并购贷款风险的，可根据有关法律法规采取责令商业银行暂停并购贷款业务等监管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风险评估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应在全面分析战略风险、法律与合规风险、整合风险、经营风险以及财务风险等与并购有关的各项风险的基础上评估并购贷款的风险。商业银行并购贷款涉及跨境交易的，还应分析国别风险、汇率风险和资金过境风险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商业银行评估战略风险，应从并购双方行业前景、市场结构、经营战略、管理团队、企业文化和股东支持等方面进行分析，包括但不限于以下内容：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（一）并购双方的产业相关度和战略相关性，以及可能形成的协同效应；</w:t>
      </w:r>
    </w:p>
    <w:p>
      <w:pPr>
        <w:adjustRightInd w:val="0"/>
        <w:snapToGrid w:val="0"/>
        <w:spacing w:line="312" w:lineRule="auto"/>
        <w:ind w:firstLine="420" w:firstLineChars="200"/>
        <w:rPr>
          <w:rFonts w:hint="eastAsia" w:ascii="仿宋" w:hAnsi="仿宋" w:eastAsia="仿宋"/>
        </w:rPr>
      </w:pPr>
      <w:r>
        <w:rPr>
          <w:rFonts w:ascii="仿宋" w:hAnsi="仿宋" w:eastAsia="仿宋"/>
        </w:rPr>
        <w:t>（二）并购双方从战略、管理、技术和市场整合等方面取得额外回报的机会；</w:t>
      </w:r>
    </w:p>
    <w:p>
      <w:pPr>
        <w:adjustRightInd w:val="0"/>
        <w:snapToGrid w:val="0"/>
        <w:spacing w:line="312" w:lineRule="auto"/>
        <w:ind w:firstLine="420" w:firstLineChars="200"/>
        <w:rPr>
          <w:rFonts w:hint="eastAsia" w:ascii="仿宋" w:hAnsi="仿宋" w:eastAsia="仿宋"/>
        </w:rPr>
      </w:pPr>
      <w:r>
        <w:rPr>
          <w:rFonts w:ascii="仿宋" w:hAnsi="仿宋" w:eastAsia="仿宋"/>
        </w:rPr>
        <w:t>（三）并购后的预期战略成效及企业价值增长的动力来源；</w:t>
      </w:r>
    </w:p>
    <w:p>
      <w:pPr>
        <w:adjustRightInd w:val="0"/>
        <w:snapToGrid w:val="0"/>
        <w:spacing w:line="312" w:lineRule="auto"/>
        <w:ind w:firstLine="420" w:firstLineChars="200"/>
        <w:rPr>
          <w:rFonts w:hint="eastAsia" w:ascii="仿宋" w:hAnsi="仿宋" w:eastAsia="仿宋"/>
        </w:rPr>
      </w:pPr>
      <w:r>
        <w:rPr>
          <w:rFonts w:ascii="仿宋" w:hAnsi="仿宋" w:eastAsia="仿宋"/>
        </w:rPr>
        <w:t>（四）并购后新的管理团队实现新战略目标的可能性；</w:t>
      </w:r>
    </w:p>
    <w:p>
      <w:pPr>
        <w:adjustRightInd w:val="0"/>
        <w:snapToGrid w:val="0"/>
        <w:spacing w:line="312" w:lineRule="auto"/>
        <w:ind w:firstLine="420" w:firstLineChars="200"/>
        <w:rPr>
          <w:rFonts w:hint="eastAsia" w:ascii="仿宋" w:hAnsi="仿宋" w:eastAsia="仿宋"/>
        </w:rPr>
      </w:pPr>
      <w:r>
        <w:rPr>
          <w:rFonts w:ascii="仿宋" w:hAnsi="仿宋" w:eastAsia="仿宋"/>
        </w:rPr>
        <w:t>（五）并购的投机性及相应风险控制对策；</w:t>
      </w:r>
    </w:p>
    <w:p>
      <w:pPr>
        <w:adjustRightInd w:val="0"/>
        <w:snapToGrid w:val="0"/>
        <w:spacing w:line="312" w:lineRule="auto"/>
        <w:ind w:firstLine="420" w:firstLineChars="200"/>
        <w:rPr>
          <w:rFonts w:hint="eastAsia" w:ascii="仿宋" w:hAnsi="仿宋" w:eastAsia="仿宋"/>
        </w:rPr>
      </w:pPr>
      <w:r>
        <w:rPr>
          <w:rFonts w:ascii="仿宋" w:hAnsi="仿宋" w:eastAsia="仿宋"/>
        </w:rPr>
        <w:t>（六）协同效应未能实现时，并购方可能采取的风险控制措施或退出策略。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商业银行评估法律与合规风险，包括但不限于分析以下内容：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（一）并购交易各方是否具备并购交易主体资格；</w:t>
      </w:r>
    </w:p>
    <w:p>
      <w:pPr>
        <w:adjustRightInd w:val="0"/>
        <w:snapToGrid w:val="0"/>
        <w:spacing w:line="312" w:lineRule="auto"/>
        <w:ind w:firstLine="420" w:firstLineChars="200"/>
        <w:rPr>
          <w:rFonts w:hint="eastAsia" w:ascii="仿宋" w:hAnsi="仿宋" w:eastAsia="仿宋"/>
        </w:rPr>
      </w:pPr>
      <w:r>
        <w:rPr>
          <w:rFonts w:ascii="仿宋" w:hAnsi="仿宋" w:eastAsia="仿宋"/>
        </w:rPr>
        <w:t>（二）并购交易是否按有关规定已经或即将获得批准，并履行必要的登记、公告等手续；</w:t>
      </w:r>
    </w:p>
    <w:p>
      <w:pPr>
        <w:adjustRightInd w:val="0"/>
        <w:snapToGrid w:val="0"/>
        <w:spacing w:line="312" w:lineRule="auto"/>
        <w:ind w:firstLine="420" w:firstLineChars="200"/>
        <w:rPr>
          <w:rFonts w:hint="eastAsia" w:ascii="仿宋" w:hAnsi="仿宋" w:eastAsia="仿宋"/>
        </w:rPr>
      </w:pPr>
      <w:r>
        <w:rPr>
          <w:rFonts w:ascii="仿宋" w:hAnsi="仿宋" w:eastAsia="仿宋"/>
        </w:rPr>
        <w:t>（三）法律法规对并购交易的资金来源是否有限制性规定；</w:t>
      </w:r>
    </w:p>
    <w:p>
      <w:pPr>
        <w:adjustRightInd w:val="0"/>
        <w:snapToGrid w:val="0"/>
        <w:spacing w:line="312" w:lineRule="auto"/>
        <w:ind w:firstLine="420" w:firstLineChars="200"/>
        <w:rPr>
          <w:rFonts w:hint="eastAsia" w:ascii="仿宋" w:hAnsi="仿宋" w:eastAsia="仿宋"/>
        </w:rPr>
      </w:pPr>
      <w:r>
        <w:rPr>
          <w:rFonts w:ascii="仿宋" w:hAnsi="仿宋" w:eastAsia="仿宋"/>
        </w:rPr>
        <w:t>（四）担保的法律结构是否合法有效并履行了必要的法定程序；</w:t>
      </w:r>
    </w:p>
    <w:p>
      <w:pPr>
        <w:adjustRightInd w:val="0"/>
        <w:snapToGrid w:val="0"/>
        <w:spacing w:line="312" w:lineRule="auto"/>
        <w:ind w:firstLine="420" w:firstLineChars="200"/>
        <w:rPr>
          <w:rFonts w:hint="eastAsia" w:ascii="仿宋" w:hAnsi="仿宋" w:eastAsia="仿宋"/>
        </w:rPr>
      </w:pPr>
      <w:r>
        <w:rPr>
          <w:rFonts w:ascii="仿宋" w:hAnsi="仿宋" w:eastAsia="仿宋"/>
        </w:rPr>
        <w:t>（五）借款人对还款现金流的控制是否合法合规；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（六）贷款人权利能否获得有效的法律保障；</w:t>
      </w:r>
    </w:p>
    <w:p>
      <w:pPr>
        <w:adjustRightInd w:val="0"/>
        <w:snapToGrid w:val="0"/>
        <w:spacing w:line="312" w:lineRule="auto"/>
        <w:ind w:firstLine="420" w:firstLineChars="200"/>
        <w:rPr>
          <w:rFonts w:hint="eastAsia" w:ascii="仿宋" w:hAnsi="仿宋" w:eastAsia="仿宋"/>
        </w:rPr>
      </w:pPr>
      <w:r>
        <w:rPr>
          <w:rFonts w:ascii="仿宋" w:hAnsi="仿宋" w:eastAsia="仿宋"/>
        </w:rPr>
        <w:t>（七）与并购、并购融资法律结构有关的其他方面的合规性。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商业银行评估整合风险，包括但不限于分析并购双方是否有能力通过以下方面的整合实现协同效应：</w:t>
      </w:r>
    </w:p>
    <w:p>
      <w:pPr>
        <w:adjustRightInd w:val="0"/>
        <w:snapToGrid w:val="0"/>
        <w:spacing w:line="312" w:lineRule="auto"/>
        <w:ind w:firstLine="420" w:firstLineChars="200"/>
        <w:rPr>
          <w:rFonts w:hint="eastAsia" w:ascii="仿宋" w:hAnsi="仿宋" w:eastAsia="仿宋"/>
        </w:rPr>
      </w:pPr>
      <w:r>
        <w:rPr>
          <w:rFonts w:ascii="仿宋" w:hAnsi="仿宋" w:eastAsia="仿宋"/>
        </w:rPr>
        <w:t>（一）发展战略整合；</w:t>
      </w:r>
    </w:p>
    <w:p>
      <w:pPr>
        <w:adjustRightInd w:val="0"/>
        <w:snapToGrid w:val="0"/>
        <w:spacing w:line="312" w:lineRule="auto"/>
        <w:ind w:firstLine="420" w:firstLineChars="200"/>
        <w:rPr>
          <w:rFonts w:hint="eastAsia" w:ascii="仿宋" w:hAnsi="仿宋" w:eastAsia="仿宋"/>
        </w:rPr>
      </w:pPr>
      <w:r>
        <w:rPr>
          <w:rFonts w:ascii="仿宋" w:hAnsi="仿宋" w:eastAsia="仿宋"/>
        </w:rPr>
        <w:t>（二）组织整合；</w:t>
      </w:r>
    </w:p>
    <w:p>
      <w:pPr>
        <w:adjustRightInd w:val="0"/>
        <w:snapToGrid w:val="0"/>
        <w:spacing w:line="312" w:lineRule="auto"/>
        <w:ind w:firstLine="420" w:firstLineChars="200"/>
        <w:rPr>
          <w:rFonts w:hint="eastAsia" w:ascii="仿宋" w:hAnsi="仿宋" w:eastAsia="仿宋"/>
        </w:rPr>
      </w:pPr>
      <w:r>
        <w:rPr>
          <w:rFonts w:ascii="仿宋" w:hAnsi="仿宋" w:eastAsia="仿宋"/>
        </w:rPr>
        <w:t>（三）资产整合；</w:t>
      </w:r>
    </w:p>
    <w:p>
      <w:pPr>
        <w:adjustRightInd w:val="0"/>
        <w:snapToGrid w:val="0"/>
        <w:spacing w:line="312" w:lineRule="auto"/>
        <w:ind w:firstLine="420" w:firstLineChars="200"/>
        <w:rPr>
          <w:rFonts w:hint="eastAsia" w:ascii="仿宋" w:hAnsi="仿宋" w:eastAsia="仿宋"/>
        </w:rPr>
      </w:pPr>
      <w:r>
        <w:rPr>
          <w:rFonts w:ascii="仿宋" w:hAnsi="仿宋" w:eastAsia="仿宋"/>
        </w:rPr>
        <w:t>（四）业务整合；</w:t>
      </w:r>
    </w:p>
    <w:p>
      <w:pPr>
        <w:adjustRightInd w:val="0"/>
        <w:snapToGrid w:val="0"/>
        <w:spacing w:line="312" w:lineRule="auto"/>
        <w:ind w:firstLine="420" w:firstLineChars="200"/>
        <w:rPr>
          <w:rFonts w:hint="eastAsia" w:ascii="仿宋" w:hAnsi="仿宋" w:eastAsia="仿宋"/>
        </w:rPr>
      </w:pPr>
      <w:r>
        <w:rPr>
          <w:rFonts w:ascii="仿宋" w:hAnsi="仿宋" w:eastAsia="仿宋"/>
        </w:rPr>
        <w:t>（五）人力资源及文化整合。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商业银行评估经营及财务风险，包括但不限于分析以下内容：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（一）并购后企业经营的主要风险，如行业发展和市场份额是否能保持稳定或增长趋势，公司治理是否有效，管理团队是否稳定并且具有足够能力，技术是否成熟并能提高企业竞争力，财务管理是否有效等；</w:t>
      </w:r>
    </w:p>
    <w:p>
      <w:pPr>
        <w:adjustRightInd w:val="0"/>
        <w:snapToGrid w:val="0"/>
        <w:spacing w:line="312" w:lineRule="auto"/>
        <w:ind w:firstLine="420" w:firstLineChars="200"/>
        <w:rPr>
          <w:rFonts w:hint="eastAsia" w:ascii="仿宋" w:hAnsi="仿宋" w:eastAsia="仿宋"/>
        </w:rPr>
      </w:pPr>
      <w:r>
        <w:rPr>
          <w:rFonts w:ascii="仿宋" w:hAnsi="仿宋" w:eastAsia="仿宋"/>
        </w:rPr>
        <w:t>（二）并购双方的未来现金流及其稳定程度；</w:t>
      </w:r>
    </w:p>
    <w:p>
      <w:pPr>
        <w:adjustRightInd w:val="0"/>
        <w:snapToGrid w:val="0"/>
        <w:spacing w:line="312" w:lineRule="auto"/>
        <w:ind w:firstLine="420" w:firstLineChars="200"/>
        <w:rPr>
          <w:rFonts w:hint="eastAsia" w:ascii="仿宋" w:hAnsi="仿宋" w:eastAsia="仿宋"/>
        </w:rPr>
      </w:pPr>
      <w:r>
        <w:rPr>
          <w:rFonts w:ascii="仿宋" w:hAnsi="仿宋" w:eastAsia="仿宋"/>
        </w:rPr>
        <w:t>（三）并购股权（或资产）定价高于目标企业股权（或资产）合理估值的风险；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（四）并购双方的分红策略及其对并购贷款还款来源造成的影响；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（五）并购中使用的债务融资工具及其对并购贷款还款来源造成的影响；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（六）汇率和利率等因素变动对并购贷款还款来源造成的影响。</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当综合考虑上述风险因素，根据并购双方经营和财务状况、并购融资方式和金额等情况，合理测算并购贷款还款来源，审慎确定并购贷款所支持的并购项目的财务杠杆率，确保并购的资金来源中含有合理比例的权益性资金，防范高杠杆并购融资带来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商业银行应在全面分析与并购有关的各项风险的基础上，建立审慎的财务模型，测算并购双方未来财务数据，以及对并购贷款风险有重要影响的关键财务杠杆和偿债能力指标。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商业银行应在财务模型测算的基础上，充分考虑各种不利情形对并购贷款风险的影响。　不利情形包括但不限于：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（一）并购双方的经营业绩（包括现金流）在还款期内未能保持稳定或增长趋势；</w:t>
      </w:r>
    </w:p>
    <w:p>
      <w:pPr>
        <w:adjustRightInd w:val="0"/>
        <w:snapToGrid w:val="0"/>
        <w:spacing w:line="312" w:lineRule="auto"/>
        <w:ind w:firstLine="420" w:firstLineChars="200"/>
        <w:rPr>
          <w:rFonts w:hint="eastAsia" w:ascii="仿宋" w:hAnsi="仿宋" w:eastAsia="仿宋"/>
        </w:rPr>
      </w:pPr>
      <w:r>
        <w:rPr>
          <w:rFonts w:ascii="仿宋" w:hAnsi="仿宋" w:eastAsia="仿宋"/>
        </w:rPr>
        <w:t>（二）并购双方的治理结构不健全，管理团队不稳定或不能胜任；</w:t>
      </w:r>
    </w:p>
    <w:p>
      <w:pPr>
        <w:adjustRightInd w:val="0"/>
        <w:snapToGrid w:val="0"/>
        <w:spacing w:line="312" w:lineRule="auto"/>
        <w:ind w:firstLine="420" w:firstLineChars="200"/>
        <w:rPr>
          <w:rFonts w:hint="eastAsia" w:ascii="仿宋" w:hAnsi="仿宋" w:eastAsia="仿宋"/>
        </w:rPr>
      </w:pPr>
      <w:r>
        <w:rPr>
          <w:rFonts w:ascii="仿宋" w:hAnsi="仿宋" w:eastAsia="仿宋"/>
        </w:rPr>
        <w:t>（三）并购后并购方与目标企业未能产生协同效应；</w:t>
      </w:r>
    </w:p>
    <w:p>
      <w:pPr>
        <w:adjustRightInd w:val="0"/>
        <w:snapToGrid w:val="0"/>
        <w:spacing w:line="312" w:lineRule="auto"/>
        <w:ind w:firstLine="420" w:firstLineChars="200"/>
        <w:rPr>
          <w:rFonts w:hint="eastAsia" w:ascii="仿宋" w:hAnsi="仿宋" w:eastAsia="仿宋"/>
        </w:rPr>
      </w:pPr>
      <w:r>
        <w:rPr>
          <w:rFonts w:ascii="仿宋" w:hAnsi="仿宋" w:eastAsia="仿宋"/>
        </w:rPr>
        <w:t>（四）并购方与目标企业存在关联关系，尤其是并购方与目标企业受同一实际控制人控制的情形。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应在全面评估并购贷款风险的基础上，确认并购交易的真实性，综合判断借款人的还款资金来源是否充足，还款来源与还款计划是否匹配，借款人是否能够按照合同约定支付贷款利息和本金等，并提出并购贷款质量下滑时可采取的应对措施或退出策略，形成贷款评审报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商业银行全部并购贷款余额占同期本行一级资本净额的比例不应超过50%。</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商业银行应按照本行并购贷款业务发展策略，分别按单一借款人、集团客户、行业类别、国家或地区对并购贷款集中度建立相应的限额控制体系，并向银监会或其派出机构报告。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商业银行对单一借款人的并购贷款余额占同期本行一级资本净额的比例不应超过5%。</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并购交易价款中并购贷款所占比例不应高于60%。</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并购贷款期限一般不超过七年。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商业银行应具有与本行并购贷款业务规模和复杂程度相适应的熟悉并购相关法律、财务、行业等知识的专业人员。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商业银行应在内部组织并购贷款尽职调查和风险评估的专业团队，对本指引</w:t>
      </w:r>
      <w:r>
        <w:rPr>
          <w:rFonts w:ascii="仿宋" w:hAnsi="仿宋" w:eastAsia="仿宋"/>
          <w:b/>
        </w:rPr>
        <w:t>第十一条</w:t>
      </w:r>
      <w:r>
        <w:rPr>
          <w:rFonts w:ascii="仿宋" w:hAnsi="仿宋" w:eastAsia="仿宋"/>
        </w:rPr>
        <w:t>到</w:t>
      </w:r>
      <w:r>
        <w:rPr>
          <w:rFonts w:ascii="仿宋" w:hAnsi="仿宋" w:eastAsia="仿宋"/>
          <w:b/>
        </w:rPr>
        <w:t>第十七条</w:t>
      </w:r>
      <w:r>
        <w:rPr>
          <w:rFonts w:ascii="仿宋" w:hAnsi="仿宋" w:eastAsia="仿宋"/>
        </w:rPr>
        <w:t>的内容进行调查、分析和评估，并形成书面报告。</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前款所称专业团队的负责人应有3年以上并购从业经验，成员可包括但不限于并购专家、信贷专家、行业专家、法律专家和财务专家等。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商业银行应在并购贷款业务受理、尽职调查、风险评估、合同签订、贷款发放、贷后管理等主要业务环节以及内部控制体系中加强专业化的管理与控制。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商业银行受理的并购贷款申请应符合以下基本条件：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（一）并购方依法合规经营，信用状况良好，没有信贷违约、逃废银行债务等不良记录；</w:t>
      </w:r>
    </w:p>
    <w:p>
      <w:pPr>
        <w:adjustRightInd w:val="0"/>
        <w:snapToGrid w:val="0"/>
        <w:spacing w:line="312" w:lineRule="auto"/>
        <w:ind w:firstLine="420" w:firstLineChars="200"/>
        <w:rPr>
          <w:rFonts w:hint="eastAsia" w:ascii="仿宋" w:hAnsi="仿宋" w:eastAsia="仿宋"/>
        </w:rPr>
      </w:pPr>
      <w:r>
        <w:rPr>
          <w:rFonts w:ascii="仿宋" w:hAnsi="仿宋" w:eastAsia="仿宋"/>
        </w:rPr>
        <w:t>（二）并购交易合法合规，涉及国家产业政策、行业准入、反垄断、国有资产转让等事项的，应按相关法律法规和政策要求，取得有关方面的批准和履行相关手续；</w:t>
      </w:r>
    </w:p>
    <w:p>
      <w:pPr>
        <w:adjustRightInd w:val="0"/>
        <w:snapToGrid w:val="0"/>
        <w:spacing w:line="312" w:lineRule="auto"/>
        <w:ind w:firstLine="420" w:firstLineChars="200"/>
        <w:rPr>
          <w:rFonts w:hint="eastAsia" w:ascii="仿宋" w:hAnsi="仿宋" w:eastAsia="仿宋"/>
        </w:rPr>
      </w:pPr>
      <w:r>
        <w:rPr>
          <w:rFonts w:ascii="仿宋" w:hAnsi="仿宋" w:eastAsia="仿宋"/>
        </w:rPr>
        <w:t>（三）并购方与目标企业之间具有较高的产业相关度或战略相关性，并购方通过并购能够获得目标企业的研发能力、关键技术与工艺、商标、特许权、供应或分销网络等战略性资源以提高其核心竞争能力。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商业银行可根据并购交易的复杂性、专业性和技术性，聘请中介机构进行有关调查并在风险评估时使用该中介机构的调查报告。</w:t>
      </w:r>
    </w:p>
    <w:p>
      <w:pPr>
        <w:adjustRightInd w:val="0"/>
        <w:snapToGrid w:val="0"/>
        <w:spacing w:line="312" w:lineRule="auto"/>
        <w:ind w:firstLine="420" w:firstLineChars="200"/>
        <w:rPr>
          <w:rFonts w:hint="eastAsia" w:ascii="仿宋" w:hAnsi="仿宋" w:eastAsia="仿宋"/>
        </w:rPr>
      </w:pPr>
      <w:r>
        <w:rPr>
          <w:rFonts w:ascii="仿宋" w:hAnsi="仿宋" w:eastAsia="仿宋"/>
        </w:rPr>
        <w:t>有前款所述情形的，商业银行应建立相应的中介机构管理制度，并通过书面合同明确中介机构的法律责任。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并购方与目标企业存在关联关系的，商业银行应当加强贷前调查，了解和掌握并购交易的经济动机、并购双方整合的可行性、协同效应的可能性等相关情况，核实并购交易的真实性以及并购交易价格的合理性，防范关联企业之间利用虚假并购交易套取银行信贷资金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商业银行原则上应要求借款人提供充足的能够覆盖并购贷款风险的担保，包括但不限于资产抵押、股权质押、第三方保证，以及符合法律规定的其他形式的担保。以目标企业股权质押时，商业银行应采用更为审慎的方法评估其股权价值和确定质押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商业银行应根据并购贷款风险评估结果，审慎确定借款合同中贷款金额、期限、利率、分期还款计划、担保方式等基本条款的内容。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商业银行应在借款合同中约定保护贷款人利益的关键条款，包括但不限于：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（一）对借款人或并购后企业重要财务指标的约束性条款；</w:t>
      </w:r>
    </w:p>
    <w:p>
      <w:pPr>
        <w:adjustRightInd w:val="0"/>
        <w:snapToGrid w:val="0"/>
        <w:spacing w:line="312" w:lineRule="auto"/>
        <w:ind w:firstLine="420" w:firstLineChars="200"/>
        <w:rPr>
          <w:rFonts w:hint="eastAsia" w:ascii="仿宋" w:hAnsi="仿宋" w:eastAsia="仿宋"/>
        </w:rPr>
      </w:pPr>
      <w:r>
        <w:rPr>
          <w:rFonts w:ascii="仿宋" w:hAnsi="仿宋" w:eastAsia="仿宋"/>
        </w:rPr>
        <w:t>（二）对借款人特定情形下获得的额外现金流用于提前还款的强制性条款；</w:t>
      </w:r>
    </w:p>
    <w:p>
      <w:pPr>
        <w:adjustRightInd w:val="0"/>
        <w:snapToGrid w:val="0"/>
        <w:spacing w:line="312" w:lineRule="auto"/>
        <w:ind w:firstLine="420" w:firstLineChars="200"/>
        <w:rPr>
          <w:rFonts w:hint="eastAsia" w:ascii="仿宋" w:hAnsi="仿宋" w:eastAsia="仿宋"/>
        </w:rPr>
      </w:pPr>
      <w:r>
        <w:rPr>
          <w:rFonts w:ascii="仿宋" w:hAnsi="仿宋" w:eastAsia="仿宋"/>
        </w:rPr>
        <w:t>（三）对借款人或并购后企业的主要或专用账户的监控条款；</w:t>
      </w:r>
    </w:p>
    <w:p>
      <w:pPr>
        <w:adjustRightInd w:val="0"/>
        <w:snapToGrid w:val="0"/>
        <w:spacing w:line="312" w:lineRule="auto"/>
        <w:ind w:firstLine="420" w:firstLineChars="200"/>
        <w:rPr>
          <w:rFonts w:hint="eastAsia" w:ascii="仿宋" w:hAnsi="仿宋" w:eastAsia="仿宋"/>
        </w:rPr>
      </w:pPr>
      <w:r>
        <w:rPr>
          <w:rFonts w:ascii="仿宋" w:hAnsi="仿宋" w:eastAsia="仿宋"/>
        </w:rPr>
        <w:t>（四）确保贷款人对重大事项知情权或认可权的借款人承诺条款。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商业银行应通过本指引</w:t>
      </w:r>
      <w:r>
        <w:rPr>
          <w:rFonts w:ascii="仿宋" w:hAnsi="仿宋" w:eastAsia="仿宋"/>
          <w:b/>
        </w:rPr>
        <w:t>第三十一条</w:t>
      </w:r>
      <w:r>
        <w:rPr>
          <w:rFonts w:ascii="仿宋" w:hAnsi="仿宋" w:eastAsia="仿宋"/>
        </w:rPr>
        <w:t>所述的关键条款约定在并购双方出现以下情形时可采取的风险控制措施：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（一）重要股东的变化；</w:t>
      </w:r>
    </w:p>
    <w:p>
      <w:pPr>
        <w:adjustRightInd w:val="0"/>
        <w:snapToGrid w:val="0"/>
        <w:spacing w:line="312" w:lineRule="auto"/>
        <w:ind w:firstLine="420" w:firstLineChars="200"/>
        <w:rPr>
          <w:rFonts w:hint="eastAsia" w:ascii="仿宋" w:hAnsi="仿宋" w:eastAsia="仿宋"/>
        </w:rPr>
      </w:pPr>
      <w:r>
        <w:rPr>
          <w:rFonts w:ascii="仿宋" w:hAnsi="仿宋" w:eastAsia="仿宋"/>
        </w:rPr>
        <w:t>（二）经营战略的重大变化；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（三）重大投资项目变化；</w:t>
      </w:r>
    </w:p>
    <w:p>
      <w:pPr>
        <w:adjustRightInd w:val="0"/>
        <w:snapToGrid w:val="0"/>
        <w:spacing w:line="312" w:lineRule="auto"/>
        <w:ind w:firstLine="420" w:firstLineChars="200"/>
        <w:rPr>
          <w:rFonts w:hint="eastAsia" w:ascii="仿宋" w:hAnsi="仿宋" w:eastAsia="仿宋"/>
        </w:rPr>
      </w:pPr>
      <w:r>
        <w:rPr>
          <w:rFonts w:ascii="仿宋" w:hAnsi="仿宋" w:eastAsia="仿宋"/>
        </w:rPr>
        <w:t>（四）营运成本的异常变化；</w:t>
      </w:r>
    </w:p>
    <w:p>
      <w:pPr>
        <w:adjustRightInd w:val="0"/>
        <w:snapToGrid w:val="0"/>
        <w:spacing w:line="312" w:lineRule="auto"/>
        <w:ind w:firstLine="420" w:firstLineChars="200"/>
        <w:rPr>
          <w:rFonts w:hint="eastAsia" w:ascii="仿宋" w:hAnsi="仿宋" w:eastAsia="仿宋"/>
        </w:rPr>
      </w:pPr>
      <w:r>
        <w:rPr>
          <w:rFonts w:ascii="仿宋" w:hAnsi="仿宋" w:eastAsia="仿宋"/>
        </w:rPr>
        <w:t>（五）品牌、客户、市场渠道等的重大不利变化；</w:t>
      </w:r>
    </w:p>
    <w:p>
      <w:pPr>
        <w:adjustRightInd w:val="0"/>
        <w:snapToGrid w:val="0"/>
        <w:spacing w:line="312" w:lineRule="auto"/>
        <w:ind w:firstLine="420" w:firstLineChars="200"/>
        <w:rPr>
          <w:rFonts w:hint="eastAsia" w:ascii="仿宋" w:hAnsi="仿宋" w:eastAsia="仿宋"/>
        </w:rPr>
      </w:pPr>
      <w:r>
        <w:rPr>
          <w:rFonts w:ascii="仿宋" w:hAnsi="仿宋" w:eastAsia="仿宋"/>
        </w:rPr>
        <w:t>（六）产生新的重大债务或对外担保；</w:t>
      </w:r>
    </w:p>
    <w:p>
      <w:pPr>
        <w:adjustRightInd w:val="0"/>
        <w:snapToGrid w:val="0"/>
        <w:spacing w:line="312" w:lineRule="auto"/>
        <w:ind w:firstLine="420" w:firstLineChars="200"/>
        <w:rPr>
          <w:rFonts w:hint="eastAsia" w:ascii="仿宋" w:hAnsi="仿宋" w:eastAsia="仿宋"/>
        </w:rPr>
      </w:pPr>
      <w:r>
        <w:rPr>
          <w:rFonts w:ascii="仿宋" w:hAnsi="仿宋" w:eastAsia="仿宋"/>
        </w:rPr>
        <w:t>（七）重大资产出售；</w:t>
      </w:r>
    </w:p>
    <w:p>
      <w:pPr>
        <w:adjustRightInd w:val="0"/>
        <w:snapToGrid w:val="0"/>
        <w:spacing w:line="312" w:lineRule="auto"/>
        <w:ind w:firstLine="420" w:firstLineChars="200"/>
        <w:rPr>
          <w:rFonts w:hint="eastAsia" w:ascii="仿宋" w:hAnsi="仿宋" w:eastAsia="仿宋"/>
        </w:rPr>
      </w:pPr>
      <w:r>
        <w:rPr>
          <w:rFonts w:ascii="仿宋" w:hAnsi="仿宋" w:eastAsia="仿宋"/>
        </w:rPr>
        <w:t>（八）分红策略的重大变化；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（九）担保人的担保能力或抵质押物发生重大变化；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（十）影响企业持续经营的其他重大事项。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商业银行应在借款合同中约定提款条件以及与贷款支付使用相关的条款，提款条件应至少包括并购方自筹资金已足额到位和并购合规性条件已满足等内容。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商业银行应按照借款合同约定，加强对贷款资金的提款和支付管理，做好资金流向监控，防范关联企业借助虚假并购交易套取贷款资金，确保贷款资金不被挪用。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商业银行应在借款合同中约定，借款人有义务在贷款存续期间定期报送并购双方、担保人的财务报表以及贷款人需要的其他相关资料。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商业银行在贷款存续期间，应加强贷后检查，及时跟踪并购实施情况，定期评估并购双方未来现金流的可预测性和稳定性，定期评估借款人的还款计划与还款来源是否匹配，对并购交易或者并购双方出现异常情况的，及时采取有效措施保障贷款安全。</w:t>
      </w:r>
    </w:p>
    <w:p>
      <w:pPr>
        <w:adjustRightInd w:val="0"/>
        <w:snapToGrid w:val="0"/>
        <w:spacing w:line="312" w:lineRule="auto"/>
        <w:ind w:firstLine="420" w:firstLineChars="200"/>
        <w:rPr>
          <w:rFonts w:hint="eastAsia" w:ascii="仿宋" w:hAnsi="仿宋" w:eastAsia="仿宋"/>
        </w:rPr>
      </w:pPr>
      <w:r>
        <w:rPr>
          <w:rFonts w:ascii="仿宋" w:hAnsi="仿宋" w:eastAsia="仿宋"/>
        </w:rPr>
        <w:t>并购方与目标企业存在关联关系的，商业银行应加大贷后管理力度，特别是应确认并购交易得到实际执行以及并购方对目标企业真正实施整合。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商业银行在贷款存续期间，应密切关注借款合同中关键条款的履行情况。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商业银行应按照不低于其他贷款种类的频率和标准对并购贷款进行风险分类和计提拨备。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并购贷款出现不良时，商业银行应及时采取贷款清收、保全，以及处置抵质押物、依法接管企业经营权等风险控制措施。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商业银行应明确并购贷款业务内部报告的内容、路线和频率，并应至少每年对并购贷款业务的合规性和资产价值变化进行内部检查和独立的内部审计，对其风险状况进行全面评估。当出现并购贷款集中度趋高、贷款风险分类趋降等情形时，商业银行应提高内部报告、检查和评估的频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商业银行在并购贷款的不良贷款额或不良率上升时应加强对以下内容的报告、检查和评估：</w:t>
      </w:r>
    </w:p>
    <w:p>
      <w:pPr>
        <w:adjustRightInd w:val="0"/>
        <w:snapToGrid w:val="0"/>
        <w:spacing w:line="312" w:lineRule="auto"/>
        <w:ind w:firstLine="420" w:firstLineChars="200"/>
        <w:rPr>
          <w:rFonts w:hint="eastAsia" w:ascii="仿宋" w:hAnsi="仿宋" w:eastAsia="仿宋"/>
        </w:rPr>
      </w:pPr>
      <w:r>
        <w:rPr>
          <w:rFonts w:ascii="仿宋" w:hAnsi="仿宋" w:eastAsia="仿宋"/>
        </w:rPr>
        <w:t>（一）并购贷款担保的方式、构成和覆盖贷款本息的情况；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（二）针对不良贷款所采取的清收和保全措施；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（三）处置质押股权的情况；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（四）依法接管企业经营权的情况；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（五）并购贷款的呆账核销情况。</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商业银行贷款支持已获得目标企业控制权的并购方企业，为维持对目标企业的控制权而受让或者认购目标企业股权的，适用本指引。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政策性银行、外国银行分行和企业集团财务公司开办并购贷款业务的，参照本指引执行。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本指引所称并购双方是指并购方与目标企业。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本指引由中国银监会负责解释。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本指引自印发之日起施行。《中国银监会关于印发＜商业银行并购贷款风险管理指引＞的通知</w:t>
      </w:r>
      <w:r>
        <w:rPr>
          <w:rFonts w:ascii="仿宋" w:hAnsi="仿宋" w:eastAsia="仿宋"/>
        </w:rPr>
        <w:br w:type="textWrapping"/>
      </w:r>
      <w:r>
        <w:rPr>
          <w:rFonts w:ascii="仿宋" w:hAnsi="仿宋" w:eastAsia="仿宋"/>
        </w:rPr>
        <w:t>》（银监发〔2008〕84号）同时废止。</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