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85" w:name="_Toc518836039"/>
      <w:bookmarkStart w:id="486" w:name="_Toc8912"/>
      <w:r>
        <w:rPr>
          <w:rFonts w:hint="eastAsia"/>
        </w:rPr>
        <w:t>187</w:t>
      </w:r>
      <w:r>
        <w:t>--</w:t>
      </w:r>
      <w:r>
        <w:rPr>
          <w:rFonts w:hint="eastAsia"/>
        </w:rPr>
        <w:t>中国银监会关于银行业打击治理电信网络新型违法犯罪有关工作事项的通知</w:t>
      </w:r>
      <w:r>
        <w:rPr>
          <w:rFonts w:hint="eastAsia"/>
        </w:rPr>
        <w:br w:type="textWrapping"/>
      </w:r>
      <w:r>
        <w:br w:type="textWrapping"/>
      </w:r>
      <w:r>
        <w:rPr>
          <w:rFonts w:hint="eastAsia"/>
        </w:rPr>
        <w:t>（银监发〔2015〕48号）</w:t>
      </w:r>
      <w:bookmarkEnd w:id="485"/>
      <w:bookmarkEnd w:id="486"/>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国务院打击治理电信网络新型违法犯罪工作部际联席会议办公室决定，2015年11月至2016年4月在全国范围内开展打击治理电信网络新型违法犯罪专项行动。现将《公安部关于印发〈打击治理电信网络新型违法犯罪专项行动工作方案〉的通知</w:t>
      </w:r>
      <w:r>
        <w:rPr>
          <w:rFonts w:ascii="仿宋" w:hAnsi="仿宋" w:eastAsia="仿宋"/>
        </w:rPr>
        <w:br w:type="textWrapping"/>
      </w:r>
      <w:r>
        <w:rPr>
          <w:rFonts w:ascii="仿宋" w:hAnsi="仿宋" w:eastAsia="仿宋"/>
        </w:rPr>
        <w:t>》（公刑［2015］3410号）印发给你们，请结合以下工作要求抓好贯彻落实。</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一、统一思想，高度重视，增强打击治理电信网络新型违法犯罪专项行动的责任感</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监局和银行业金融机构要深刻认识当前电信网络新型违法犯罪形势的严峻性、复杂性，进一步增强责任感、紧迫感，积极回应人民群众迫切期待。坚持标本兼治、综合治理、落实责任，整合各方面资源，统筹各方面力量，全面落实打击治理、源头监管、宣传防范等各项工作措施，坚决遏制电信网络新型违法犯罪发展蔓延势头，切实维护人民群众合法权益，切实维护社会和谐稳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二、积极协助，全力配合，确保做好涉案账户查控工作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监局和银行业金融机构要严格执行《银行业金融机构协助人民检察院公安机关国家安全机关查询冻结工作规定》（银监发［2014]53号）。根据《打击治理电信网络新型违法犯罪专项行动工作方案》部署，积极配合公安机关做好涉案账户的及时查询、紧急止付、快速冻结等查控工作。同时，各银监局和银行业金融机构要根据银监会和公安部相关工作部署，大力推进涉案账户资金网络查控平台建设应用，切实提高涉案资金查控的合法性、及时性、准确性。</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三、认真核实，限制开卡数量，严格执行实名制管理规定</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严格执行《个人存款账户实名制规定》（国务院令第285号），充分利用身份证联网核查等技术手段，认真审核办理人身份证件，坚决杜绝违规代开卡、乱开卡、批量开卡等问题。同一客户在同一商业银行开立借记卡原则上不得超过4张；如该客户之前已持有同一商业银行全国范围内4张（含）以上借记卡的，商业银行不得为其开立或激活新的借记卡，社会保障卡、医疗保险卡、军人保障卡、已销户的借记卡除外。同一代理人在同一商业银行代理开卡原则上不得超过3张。确有正当理由，需要超出上述开卡数量限制的，由商业银行核实后酌情办理。对已办理4张以上借记卡的客户，银行业金融机构要主动与开卡客户进行联系，开展核查工作，发现非本人意愿办理的，应当中止服务。</w:t>
      </w:r>
    </w:p>
    <w:p>
      <w:pPr>
        <w:adjustRightInd w:val="0"/>
        <w:snapToGrid w:val="0"/>
        <w:spacing w:line="312" w:lineRule="auto"/>
        <w:ind w:firstLine="420" w:firstLineChars="200"/>
        <w:rPr>
          <w:rFonts w:hint="eastAsia" w:ascii="仿宋" w:hAnsi="仿宋" w:eastAsia="仿宋"/>
        </w:rPr>
      </w:pPr>
      <w:r>
        <w:rPr>
          <w:rFonts w:ascii="仿宋" w:hAnsi="仿宋" w:eastAsia="仿宋"/>
        </w:rPr>
        <w:t>对于公安机关或司法机关正式提供的文件显示客户（持卡人、申请人、代理人等）曾参与出租、出借、出售本人或他人借记卡账户以及相关各类验证工具的，同一商业银行在全国范围内对该客户（持卡人、申请人、代理人）等开立的借记卡账户数量不得超过2个。如该客户（持卡人、申请人、代理人等）之前已持有同一商业银行全国范围内2个（含）以上借记卡账户的，商业银行不得为其开立或激活新的借记卡账户。限制时间自收到公安机关或司法机关正式文件之日起至少5年。社会保障卡、医疗保险卡、军人保障卡、已销户的借记卡账户除外。</w:t>
      </w:r>
    </w:p>
    <w:p>
      <w:pPr>
        <w:adjustRightInd w:val="0"/>
        <w:snapToGrid w:val="0"/>
        <w:spacing w:line="312" w:lineRule="auto"/>
        <w:ind w:firstLine="420" w:firstLineChars="200"/>
        <w:rPr>
          <w:rFonts w:hint="eastAsia" w:ascii="仿宋" w:hAnsi="仿宋" w:eastAsia="仿宋"/>
        </w:rPr>
      </w:pPr>
      <w:r>
        <w:rPr>
          <w:rFonts w:ascii="仿宋" w:hAnsi="仿宋" w:eastAsia="仿宋"/>
        </w:rPr>
        <w:t>对于代理开立的借记卡，需被代理人持本人有效身份证件在柜面办理卡片启用后方可正常使用，在启用前应只支持存款转入等贷方交易，不支持取款、转出、消费、理财投资等借方交易。对于存款人因病残、出国等特殊原因无法由本人办理启用业务的，银行核实情况后应开设绿色通道，做到特事特办。其中，16岁以下中国公民由监护人代理开立的借记卡，不受上述限制。</w:t>
      </w:r>
    </w:p>
    <w:p>
      <w:pPr>
        <w:adjustRightInd w:val="0"/>
        <w:snapToGrid w:val="0"/>
        <w:spacing w:line="312" w:lineRule="auto"/>
        <w:ind w:firstLine="420" w:firstLineChars="200"/>
        <w:rPr>
          <w:rFonts w:hint="eastAsia" w:ascii="仿宋" w:hAnsi="仿宋" w:eastAsia="仿宋"/>
        </w:rPr>
      </w:pPr>
      <w:r>
        <w:rPr>
          <w:rFonts w:ascii="仿宋" w:hAnsi="仿宋" w:eastAsia="仿宋"/>
        </w:rPr>
        <w:t>对于新开银行卡客户，原则上应预留本人实名登记的手机号码；确无手机号码的，可以不予预留。对于新开办网银、手机银行、电话银行等业务的客户，应当要求预留本人实名登记的手机号码。若客户预留非本人实名登记的手机号码，一经发现，银行业金融机构有权停用该银行卡，待客户更新本人实名登记的手机号码再恢复使用。16岁以下中国公民由监护人代理开立的银行账户，可留存监护人或存款人本人经实名认证的手机号码。</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对于个人客户主动向银行业金融机构提出申请，要求对其名下非本人意愿办理的本地和异地银行卡进行处置的，银行业金融机构在核实后，应中止银行卡服务。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四、强化内控，完善流程，提升银行卡安全管理水平</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要全面梳理完善业务流程，提升内控水平，切实加强银行卡安全管理，不断强化行业自律，严格落实社会责任。同时，应尽快建立涉嫌电信网络诈骗账户黑名单制度，依法限制涉嫌电信网络诈骗银行卡的境内、境外使用功能。</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五、密切联系，协调配合，形成打击治理电信网络新型违法犯罪的强大合力</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各银监局、银行业金融机构应参照《关于进一步做好涉恐案件资金查控工作的通知</w:t>
      </w:r>
      <w:r>
        <w:rPr>
          <w:rFonts w:ascii="仿宋" w:hAnsi="仿宋" w:eastAsia="仿宋"/>
        </w:rPr>
        <w:br w:type="textWrapping"/>
      </w:r>
      <w:r>
        <w:rPr>
          <w:rFonts w:ascii="仿宋" w:hAnsi="仿宋" w:eastAsia="仿宋"/>
        </w:rPr>
        <w:t>》（公刑［2015］846号）要求，建立健全与公安机关的资金查控联系人机制。在专项行动和资金查控工作中，各方确定的联系人应切实负起责任，直接对接、直接联络、快速反应，共同做好涉案资金的查询、冻结工作。对于重大、复杂案件，各银监局应配合公安机关进行重点协调和部署，做好有关银行业金融机构的督促和指导工作，努力形成打击治理电信网络新型违法犯罪的强大合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六、大力宣传，打防结合，着力提升广大群众防范电信网络诈骗的意识和能力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监局、银行业金融机构要精心组织开展宣传教育活动，采取群众喜闻乐见的方式，推动电信网络新型违法犯罪防范工作宣传教育活动进社区、进学校、进家庭。各银行业金融机构应综合运用柜台、ATM等终端，积极借助手机短信、互联网等载体，通过悬挂警示标语、张贴防范提示、发放宣传资料等方式，深入开展经常性防范宣传教育活动，及时揭露不法分子犯罪手法和伎俩，切实提高广大群众防范意识和能力。特别是在客户办理业务过程中，要主动提示核查本人名下全部银行账户信息，发现异常，及时处置。</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七、落实责任，严肃查处，建立健全考核奖惩和责任追究制度</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银行业金融机构要按照电信网络新型违法犯罪打击治理职责分工，严格落实工作责任，建立健全考核奖惩和责任追究制度。对于工作成绩突出的，要予以表彰奖励；对于重视不够，措施不力的，要予以通报批评。对于在协助查控工作中通风报信、拖延推诿、协助隐匿转移财产的，以及涉及违规办卡的银行业金融机构和从业人员，要对责任机构和责任人予以严厉处罚。构成犯罪的，依法移交司法机关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w:t>
      </w:r>
      <w:r>
        <w:rPr>
          <w:rFonts w:ascii="仿宋" w:hAnsi="仿宋" w:eastAsia="仿宋"/>
        </w:rPr>
        <w:br w:type="textWrapping"/>
      </w:r>
      <w:r>
        <w:rPr>
          <w:rFonts w:ascii="仿宋" w:hAnsi="仿宋" w:eastAsia="仿宋"/>
        </w:rPr>
        <w:t>执行中遇有问题，请及时与银监会法规部联系。银监会将适时对银行业金融机构打击治理电信网络新型违法犯罪工作情况进行监督检查。</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联系人：曹妍周兰领</w:t>
      </w:r>
    </w:p>
    <w:p>
      <w:pPr>
        <w:adjustRightInd w:val="0"/>
        <w:snapToGrid w:val="0"/>
        <w:spacing w:line="312" w:lineRule="auto"/>
        <w:ind w:firstLine="420" w:firstLineChars="200"/>
        <w:rPr>
          <w:rFonts w:hint="eastAsia" w:ascii="仿宋" w:hAnsi="仿宋" w:eastAsia="仿宋"/>
        </w:rPr>
      </w:pPr>
      <w:r>
        <w:rPr>
          <w:rFonts w:ascii="仿宋" w:hAnsi="仿宋" w:eastAsia="仿宋"/>
        </w:rPr>
        <w:t>联系电话：010-66279613，010-66279647</w:t>
      </w:r>
    </w:p>
    <w:p>
      <w:pPr>
        <w:adjustRightInd w:val="0"/>
        <w:snapToGrid w:val="0"/>
        <w:spacing w:line="312" w:lineRule="auto"/>
        <w:ind w:firstLine="420" w:firstLineChars="200"/>
        <w:rPr>
          <w:rFonts w:hint="eastAsia" w:ascii="仿宋" w:hAnsi="仿宋" w:eastAsia="仿宋"/>
        </w:rPr>
      </w:pPr>
      <w:r>
        <w:rPr>
          <w:rFonts w:ascii="仿宋" w:hAnsi="仿宋" w:eastAsia="仿宋"/>
        </w:rPr>
        <w:t>附件：公安部关于印发《打击治理电信网络新型违法犯罪专项行动工作方案》的通知</w:t>
      </w:r>
      <w:r>
        <w:rPr>
          <w:rFonts w:ascii="仿宋" w:hAnsi="仿宋" w:eastAsia="仿宋"/>
        </w:rPr>
        <w:br w:type="textWrapping"/>
      </w:r>
      <w:r>
        <w:rPr>
          <w:rFonts w:ascii="仿宋" w:hAnsi="仿宋" w:eastAsia="仿宋"/>
        </w:rPr>
        <w:t>（公刑［2015］3410号）（略）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2015年11月13日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